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autotext"/>
        </w:docPartObj>
      </w:sdtPr>
      <w:sdtEndPr>
        <w:rPr>
          <w:rFonts w:ascii="Times New Roman" w:hAnsi="Times New Roman" w:cs="Times New Roman"/>
        </w:rPr>
      </w:sdtEndPr>
      <w:sdtContent>
        <w:p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>
          <w:pPr>
            <w:spacing w:after="0" w:line="360" w:lineRule="auto"/>
            <w:jc w:val="right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  <w:p>
          <w:pPr>
            <w:spacing w:after="0" w:line="276" w:lineRule="auto"/>
            <w:jc w:val="center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>КОНКУРСНОЕ ЗАДАНИЕ КОМПЕТЕНЦИИ</w:t>
          </w:r>
        </w:p>
        <w:p>
          <w:pPr>
            <w:spacing w:after="0" w:line="276" w:lineRule="auto"/>
            <w:jc w:val="center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>«МЕДИЦИНСКИЙ И СОЦИАЛЬНЫЙ УХОД»</w:t>
          </w:r>
        </w:p>
        <w:p>
          <w:pPr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>
      <w:pPr>
        <w:pStyle w:val="237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>
      <w:pPr>
        <w:pStyle w:val="237"/>
        <w:shd w:val="clear" w:color="auto" w:fill="auto"/>
        <w:spacing w:line="360" w:lineRule="auto"/>
        <w:ind w:firstLine="0"/>
        <w:rPr>
          <w:rFonts w:ascii="Times New Roman" w:hAnsi="Times New Roman" w:eastAsia="Times New Roman" w:cs="Times New Roman"/>
          <w:szCs w:val="24"/>
        </w:rPr>
      </w:pPr>
    </w:p>
    <w:p>
      <w:pPr>
        <w:pStyle w:val="204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>
      <w:pPr>
        <w:pStyle w:val="31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r>
        <w:fldChar w:fldCharType="begin"/>
      </w:r>
      <w:r>
        <w:instrText xml:space="preserve"> HYPERLINK \l "_Toc124422965" \o "#_Toc124422965" </w:instrText>
      </w:r>
      <w:r>
        <w:fldChar w:fldCharType="separate"/>
      </w:r>
      <w:r>
        <w:rPr>
          <w:rStyle w:val="17"/>
          <w:rFonts w:ascii="Times New Roman" w:hAnsi="Times New Roman"/>
        </w:rPr>
        <w:t>1. ОСНОВНЫЕ ТРЕБОВАНИЯ КОМПЕТЕНЦИИ</w:t>
      </w:r>
      <w:r>
        <w:tab/>
      </w:r>
      <w:r>
        <w:fldChar w:fldCharType="begin"/>
      </w:r>
      <w:r>
        <w:instrText xml:space="preserve"> PAGEREF _Toc124422965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"_Toc124422966" \o "#_Toc124422966" </w:instrText>
      </w:r>
      <w:r>
        <w:fldChar w:fldCharType="separate"/>
      </w:r>
      <w:r>
        <w:rPr>
          <w:rStyle w:val="17"/>
        </w:rPr>
        <w:t>1.1. ОБЩИЕ СВЕДЕНИЯ О ТРЕБОВАНИЯХ КОМПЕТЕНЦИИ</w:t>
      </w:r>
      <w:r>
        <w:tab/>
      </w:r>
      <w:r>
        <w:fldChar w:fldCharType="begin"/>
      </w:r>
      <w:r>
        <w:instrText xml:space="preserve"> PAGEREF _Toc124422966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"_Toc124422967" \o "#_Toc124422967" </w:instrText>
      </w:r>
      <w:r>
        <w:fldChar w:fldCharType="separate"/>
      </w:r>
      <w:r>
        <w:rPr>
          <w:rStyle w:val="17"/>
        </w:rPr>
        <w:t>1.2. ПЕРЕЧЕНЬ ПРОФЕССИОНАЛЬНЫХ ЗАДАЧ СПЕЦИАЛИСТА ПО КОМПЕТЕНЦИИ «Медицинский и социальный уход»</w:t>
      </w:r>
      <w:r>
        <w:tab/>
      </w:r>
      <w:r>
        <w:fldChar w:fldCharType="begin"/>
      </w:r>
      <w:r>
        <w:instrText xml:space="preserve"> PAGEREF _Toc124422967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"_Toc124422968" \o "#_Toc124422968" </w:instrText>
      </w:r>
      <w:r>
        <w:fldChar w:fldCharType="separate"/>
      </w:r>
      <w:r>
        <w:rPr>
          <w:rStyle w:val="17"/>
        </w:rPr>
        <w:t>1.3. ТРЕБОВАНИЯ К СХЕМЕ ОЦЕНКИ</w:t>
      </w:r>
      <w:r>
        <w:tab/>
      </w:r>
      <w:r>
        <w:fldChar w:fldCharType="begin"/>
      </w:r>
      <w:r>
        <w:instrText xml:space="preserve"> PAGEREF _Toc124422968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"_Toc124422969" \o "#_Toc124422969" </w:instrText>
      </w:r>
      <w:r>
        <w:fldChar w:fldCharType="separate"/>
      </w:r>
      <w:r>
        <w:rPr>
          <w:rStyle w:val="17"/>
        </w:rPr>
        <w:t>1.4. СПЕЦИФИКАЦИЯ ОЦЕНКИ КОМПЕТЕНЦИИ</w:t>
      </w:r>
      <w:r>
        <w:tab/>
      </w:r>
      <w:r>
        <w:fldChar w:fldCharType="begin"/>
      </w:r>
      <w:r>
        <w:instrText xml:space="preserve"> PAGEREF _Toc124422969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"_Toc124422970" \o "#_Toc124422970" </w:instrText>
      </w:r>
      <w:r>
        <w:fldChar w:fldCharType="separate"/>
      </w:r>
      <w:r>
        <w:rPr>
          <w:rStyle w:val="17"/>
        </w:rPr>
        <w:t>1.5.2. Структура модулей конкурсного задания (инвариант/вариатив)</w:t>
      </w:r>
      <w:r>
        <w:tab/>
      </w:r>
      <w:r>
        <w:fldChar w:fldCharType="begin"/>
      </w:r>
      <w:r>
        <w:instrText xml:space="preserve"> PAGEREF _Toc124422970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"_Toc124422971" \o "#_Toc124422971" </w:instrText>
      </w:r>
      <w:r>
        <w:fldChar w:fldCharType="separate"/>
      </w:r>
      <w:r>
        <w:rPr>
          <w:rStyle w:val="17"/>
          <w:iCs/>
        </w:rPr>
        <w:t>2. СПЕЦИАЛЬНЫЕ ПРАВИЛА КОМПЕТЕНЦИИ</w:t>
      </w:r>
      <w:r>
        <w:tab/>
      </w:r>
      <w:r>
        <w:fldChar w:fldCharType="begin"/>
      </w:r>
      <w:r>
        <w:instrText xml:space="preserve"> PAGEREF _Toc124422971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"_Toc124422972" \o "#_Toc124422972" </w:instrText>
      </w:r>
      <w:r>
        <w:fldChar w:fldCharType="separate"/>
      </w:r>
      <w:r>
        <w:rPr>
          <w:rStyle w:val="17"/>
        </w:rPr>
        <w:t xml:space="preserve">2.1. </w:t>
      </w:r>
      <w:r>
        <w:rPr>
          <w:rStyle w:val="17"/>
          <w:bCs/>
          <w:iCs/>
        </w:rPr>
        <w:t>Личный инструмент конкурсанта</w:t>
      </w:r>
      <w:r>
        <w:tab/>
      </w:r>
      <w:r>
        <w:fldChar w:fldCharType="begin"/>
      </w:r>
      <w:r>
        <w:instrText xml:space="preserve"> PAGEREF _Toc124422972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31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fldChar w:fldCharType="begin"/>
      </w:r>
      <w:r>
        <w:instrText xml:space="preserve"> HYPERLINK \l "_Toc124422973" \o "#_Toc124422973" </w:instrText>
      </w:r>
      <w:r>
        <w:fldChar w:fldCharType="separate"/>
      </w:r>
      <w:r>
        <w:rPr>
          <w:rStyle w:val="17"/>
          <w:rFonts w:ascii="Times New Roman" w:hAnsi="Times New Roman"/>
        </w:rPr>
        <w:t>3. Приложения</w:t>
      </w:r>
      <w:r>
        <w:tab/>
      </w:r>
      <w:r>
        <w:fldChar w:fldCharType="begin"/>
      </w:r>
      <w:r>
        <w:instrText xml:space="preserve"> PAGEREF _Toc124422973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04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>
      <w:pPr>
        <w:pStyle w:val="204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>
      <w:pPr>
        <w:pStyle w:val="204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МО – медицинская организация.</w:t>
      </w:r>
    </w:p>
    <w:p>
      <w:pPr>
        <w:pStyle w:val="204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ЦСО – цифровая система оценки</w:t>
      </w:r>
    </w:p>
    <w:p>
      <w:pPr>
        <w:pStyle w:val="204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 ИСМП – инфекция, связанная с оказанием медицинской помощи</w:t>
      </w: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>
      <w:pPr>
        <w:pStyle w:val="219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>1.ОСНОВНЫЕ ТРЕБОВАНИЯ КОМПЕТЕНЦИИ</w:t>
      </w:r>
      <w:bookmarkEnd w:id="1"/>
    </w:p>
    <w:p>
      <w:pPr>
        <w:pStyle w:val="220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«Медицинский и социальный уход»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 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>, которые лежат в основе наиболее актуальных требований работодателей отрасли.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 и участия их в конкурсах профессионального мастерства.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>
      <w:pPr>
        <w:pStyle w:val="3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ПРОФЕССИОНАЛЬНЫХЗАДАЧ СПЕЦИАЛИСТА ПО КОМПЕТЕНЦИИ </w:t>
      </w:r>
      <w:r>
        <w:rPr>
          <w:rFonts w:ascii="Times New Roman" w:hAnsi="Times New Roman"/>
          <w:color w:val="000000"/>
          <w:szCs w:val="28"/>
          <w:lang w:val="ru-RU"/>
        </w:rPr>
        <w:t>«Медицинский и социальный уход»</w:t>
      </w:r>
      <w:bookmarkEnd w:id="5"/>
    </w:p>
    <w:p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969"/>
        <w:gridCol w:w="2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92D050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Merge w:val="restar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Merge w:val="continue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правила хранения стерильных медицинских изделий, правила их выдачи в соответствии с нормативными правовыми актами;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Merge w:val="continue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сортировку и упаковку медицинских изделий в соответствии с видом стерилизации;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стерилизацию медицинских изделий, осуществлять контроль режимов стерилизации;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медицинские информационные системы и информационно-телекоммуникационную сеть "Интернет";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выполнением должностных обязанностей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неифекционных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осмотр лиц и динамическое наблюдение за лицами, контактными с пациентами, заболевшими инфекционным заболеванием.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</w:tcPr>
          <w:p>
            <w:pPr>
              <w:pStyle w:val="240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порядок подготовки пациента к медицинским вмешательствам;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десмургии и транспортной иммобилизации;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оказания медицинской помощи в неотложной форме;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медицинской реабилитации.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</w:tcPr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должен уметь: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оценку функциональной активности и самостоятельности пациента в самообслуживании, передвижении, общении; выявлять потребность в посторонней помощи и сестринском уходе;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введение питательных смесей через рот (сипинг);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хранение питательных смесей;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зондирование желудка, промывание желудка;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постановку горчичников, банок, пиявок;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грелки, пузыря со льдом;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наложение компресса;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пособия при трахеостоме, при фарингостоме;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ухода за интестинальным зондом;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ухода за дренажом;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постановку очистительной клизмы;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постановку газоотводной трубки;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удаление копролитов;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пособия при недержании кала;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постановку сифонной клизмы;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ухода за мочевым катетером;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ухода за цистостомой и уростомой;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пособия при недержании мочи;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катетеризацию мочевого пузыря;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>
            <w:pPr>
              <w:pStyle w:val="241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ухода за сосудистым катетером;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и интерпретировать реакции пациента на прием назначенных лекарственных препаратов и процедуры ухода;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Получать и передавать информацию по вопросам оказания медицинской помощи, в том числе с пациентами, имеющими нарушения зрения, слуха, поведения;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представителям);</w:t>
            </w:r>
          </w:p>
          <w:p>
            <w:pPr>
              <w:pStyle w:val="240"/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работу по проведению мероприятий медицинской реабилитации;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pStyle w:val="3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124422968"/>
      <w:bookmarkStart w:id="7" w:name="_Toc78885655"/>
      <w:r>
        <w:rPr>
          <w:rFonts w:ascii="Times New Roman" w:hAnsi="Times New Roman"/>
          <w:color w:val="000000"/>
          <w:sz w:val="24"/>
          <w:lang w:val="ru-RU"/>
        </w:rPr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>
      <w:pPr>
        <w:pStyle w:val="30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>
      <w:pPr>
        <w:pStyle w:val="30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>
      <w:pPr>
        <w:pStyle w:val="30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>
      <w:pPr>
        <w:pStyle w:val="30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42"/>
        <w:tblW w:w="5198" w:type="pct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318"/>
        <w:gridCol w:w="1086"/>
        <w:gridCol w:w="1277"/>
        <w:gridCol w:w="1277"/>
        <w:gridCol w:w="992"/>
        <w:gridCol w:w="990"/>
        <w:gridCol w:w="1365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4262" w:type="pct"/>
            <w:gridSpan w:val="8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bookmarkStart w:id="16" w:name="_GoBack" w:colFirst="8" w:colLast="8"/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Критерий/Модуль</w:t>
            </w:r>
          </w:p>
        </w:tc>
        <w:tc>
          <w:tcPr>
            <w:tcW w:w="737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Итого баллов за раздел ТРЕБОВАНИЙ КОМПЕТЕНЦИИ</w:t>
            </w:r>
          </w:p>
        </w:tc>
      </w:tr>
      <w:bookmarkEnd w:id="1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97" w:type="pct"/>
            <w:vMerge w:val="restar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Разделы ТРЕБОВАНИЙ КОМПЕТЕНЦИИ</w:t>
            </w:r>
          </w:p>
        </w:tc>
        <w:tc>
          <w:tcPr>
            <w:tcW w:w="155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529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23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623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484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666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737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97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7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97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7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97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7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97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737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97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7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52" w:type="pct"/>
            <w:gridSpan w:val="2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Итого баллов за критерий/модуль</w:t>
            </w:r>
          </w:p>
        </w:tc>
        <w:tc>
          <w:tcPr>
            <w:tcW w:w="529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23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23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84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483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666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37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220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>
      <w:pPr>
        <w:pStyle w:val="220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</w:p>
    <w:p>
      <w:pPr>
        <w:pStyle w:val="220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</w:t>
      </w:r>
    </w:p>
    <w:p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4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077"/>
        <w:gridCol w:w="6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pct"/>
            <w:gridSpan w:val="2"/>
            <w:shd w:val="clear" w:color="auto" w:fill="92D050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41" w:type="pct"/>
            <w:shd w:val="clear" w:color="auto" w:fill="92D050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Методика проверки навыков в критерии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1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1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1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1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1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Патронаж пациента  с хронической болезнью почек на дому</w:t>
            </w:r>
          </w:p>
        </w:tc>
        <w:tc>
          <w:tcPr>
            <w:tcW w:w="3141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1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1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1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Патронаж пациента с сахарным диабетом на дому</w:t>
            </w:r>
          </w:p>
        </w:tc>
        <w:tc>
          <w:tcPr>
            <w:tcW w:w="3141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" w:type="pct"/>
            <w:shd w:val="clear" w:color="auto" w:fill="00B050"/>
            <w:noWrap w:val="0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561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1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0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Количество конкурсных дней: 3 дня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</w:t>
      </w:r>
    </w:p>
    <w:p>
      <w:pPr>
        <w:spacing w:after="0"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6 модулей.</w:t>
      </w:r>
    </w:p>
    <w:p>
      <w:pPr>
        <w:spacing w:after="0"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100.</w:t>
      </w:r>
    </w:p>
    <w:p>
      <w:pPr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Таблица №4</w:t>
      </w:r>
    </w:p>
    <w:p>
      <w:pPr>
        <w:spacing w:after="0" w:line="360" w:lineRule="auto"/>
        <w:ind w:firstLine="851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42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1843"/>
        <w:gridCol w:w="1559"/>
        <w:gridCol w:w="1430"/>
        <w:gridCol w:w="980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Нормативный документ/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Константа/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1 Сестринский уход за пациентом после ринопластики в условиях стационара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"'ИЛ ОБЩИЙ ТЕСТ'!A1" \o "file:///C:\Users\408kab_cecdelo\Desktop\Документация%20для%20РЧ\Основная%20группа\Матрица_МСУ.xlsx#'ИЛ ОБЩИЙ ТЕСТ'!A1"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ИЛ общий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2 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3 Патронаж пациента с хронической болезнью почек на дому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/>
                <w:lang w:val="ru-RU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4 Патронаж пациента с рассеяным склерозом в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 xml:space="preserve"> дневном стационаре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"КО4!A1" \o "file:///C:\Users\408kab_cecdelo\Desktop\Документация%20для%20РЧ\Основная%20группа\Матрица_МСУ.xlsx#КО4!A1"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5 Патронаж пациента  с сахарным диабетом на дому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hint="default" w:ascii="Times New Roman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6 Школа активного долголетия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"КО6!A1" \o "file:///C:\Users\408kab_cecdelo\Desktop\Документация%20для%20РЧ\Основная%20группа\Матрица_МСУ.xlsx#КО6!A1"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ПС:02.065; ФГО СПО 34.02.01 Сестринское дело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>
      <w:pPr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(Приложение № 1)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220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9"/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Сестринский уход за пациентом после ринопластики в условиях стационара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утро, Вы навещаете пациентку, Ваша коллега сообщила, что пациентка очень расстроена, агрессивна, конфликтует с персоналом и настроена враждебно. 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неудачной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 как она выглядит.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Выполнить назначение врача.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Оказать эмоциональную поддержку и помочь пациенту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Заполнить медицинскую документацию.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Оказание медицинской помощи пациенту с бронхиальной астмой в условиях дневного стационара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Заполнить медицинскую документацию.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Выполнить назначения врача.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Патронаж пациента  с хронической болезнью почек на дому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Пациентка, Зарипова Гульшат Раифовна, 65 лет, которой 2 года назад поставили диагноз: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Гипертоническая болезнь III ст. степень 3 (риск IV высокий). ХБП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А стадии. Хронический первичный двухсторонний пиелонефрит. Рецидивирующее течение. ИМП.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Выполнить назначения врача.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Оказать неотложную помощь в соответствии с ситуацией.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Заполнить медицинскую документацию.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Консультирование пациента с рассеянным склерозом в условиях дневного стационара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условиях дневного стационара проходит лечение пациентка Агафонова Алена Игоревна,  50 лет. Она уже шесть лет страдает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>
        <w:rPr>
          <w:rFonts w:ascii="Times New Roman" w:hAnsi="Times New Roman" w:eastAsia="Times New Roman" w:cs="Times New Roman"/>
          <w:sz w:val="28"/>
          <w:szCs w:val="28"/>
        </w:rPr>
        <w:t>. Пациентка использует трость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Оказать психоэмоциональную поддержку.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Провести профилактику падений.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Заполнить медицинскую документацию.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Д.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Патронаж пациента с сахарным диабетом на дому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Вы пришли на патронаж к пациенту Стебновскому Глебу Федоровичу, 72 года. Его вчера выписали из стационара с диагнозом: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Сахарный диабет 2 типа, инсулинозависимый. Диабетическая дистальная сенсомоторная полинейропатия.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Страдает сахарным диабетом более 10 лет. Пациент живет один, в последнее время его состояние стало ухудшаться. Появилось чувство онемения, покалывания, боль в ногах. Он не контролирует уровень сахара в крови. Любит кушать сдобные булочки и какао на завтрак.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Выявить потребности в обучении пациента.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Обучить пациента в соответствии с его потребностями.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Выполнить назначения врача.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Заполнить медицинскую документацию.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</w:rPr>
        <w:t>Провести профилактику возможных осложнений.</w:t>
      </w:r>
    </w:p>
    <w:p>
      <w:pPr>
        <w:pStyle w:val="229"/>
        <w:numPr>
          <w:ilvl w:val="0"/>
          <w:numId w:val="0"/>
        </w:numPr>
        <w:spacing w:after="0"/>
        <w:ind w:left="360" w:leftChars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Е.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Организация и проведение занятия в рамках школы по отказу от потребления табака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60 минут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 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 цикл обучения записались 4 слушателя. 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 </w:t>
      </w:r>
    </w:p>
    <w:p>
      <w:pPr>
        <w:pStyle w:val="229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</w:p>
    <w:p>
      <w:pPr>
        <w:pStyle w:val="229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Требования к оформлению плана работы и материалов для проведения занятия в рамках школы здоровья 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Написать план работы необходимо в течение 20 мин. перед выполнением модуля конкурсного задания.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Все документы, которые используются при выполнении модуля конкурсного задания, заполняются разборчивым почерком с указанием Ф.И.О. название региона/города и даты. При необходимости используйте разные цвета пасты. 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Материалы для выполнения модуля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Е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занятия в рамках школы по отказу от потребления табака» должны быть подготвлены участником до начала чемпионата и использоваться во время выполнения заданий. Презентация должна быть выполнена в Microsoft office 2007 (Power Point).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>
      <w:pPr>
        <w:pStyle w:val="3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124422971"/>
      <w:bookmarkStart w:id="11" w:name="_Toc78885643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0"/>
      <w:bookmarkEnd w:id="11"/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Зона 2 – домашние условия.</w:t>
      </w:r>
    </w:p>
    <w:p>
      <w:pPr>
        <w:pStyle w:val="229"/>
        <w:ind w:left="0"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Все зоны воспроизводят реальные направления в данной отрасли, а именно: уход в условиях МО и в домашних условиях. </w:t>
      </w:r>
    </w:p>
    <w:p>
      <w:pPr>
        <w:pStyle w:val="229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 каждой зоне конкурсант выполняет задания, основанные на имитации потребностей пациентов в соответствующей обстановке.</w:t>
      </w:r>
    </w:p>
    <w:p>
      <w:pPr>
        <w:pStyle w:val="229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60 минут на конкурсанта. 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профессиональных актеров и грим. Организатор чемпионата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Требования к конкурсной площадке: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Требуются звуковые системы для трансляции бесед между конкурсантами и статистами-пациентами.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Зонирование обеспечивает полный обзор всех модулей во все дни.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Требуется комната ожидания  для конкурсантов.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Требуется комната статистов/актеров для ожидания и наложения грима.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Порядок участия конкурсантов определяется главным экспертом чемпионата в присутствии всех экспертов перед началом чемпионата, методом жеребьевки. В дальнейшем осуществляется ротация на основе порядка, установленного для первого дня, а также с учетом работы  экспертной группы. Порядок участия в чемпионате оглашается конкурсантам в день знакомства с рабочим местом.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соревнования. Во время ожидания конкурсантам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Если для выполнения задания участнику чемпионата необходимо ознакомиться с инструкциями по применению какого-либо материала или с инструкциями производителя, он получает их заранее по решению главного эксперта. При необходимости, во время ознакомления технический эксперт организует демонстрацию на месте.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Главный эксперт распределяет экспертов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образовательной организации/региона.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готовности каждой зоны для конкурсантов осуществляется накануне вечером каждого соревновательного дня.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каждой зоной закрепляется руководитель из числа опытных экспертов, который сотрудничает с главным экспертом чемпионата и руководит экспертами в своей зоне.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в каждой зоне строится согласно плану проведения чемпионата по компетенции.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Каждая группа экспертов отвечает за оценивание определенных модулей и оценивает работу каждого конкурсанта по этим модулям конкурсного задания.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Все оценки должны быть засвидетельствованы и подписаны всеми экспертами каждой группы на каждом рабочем месте, а результаты подлежат регистрации в ЦСО.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Ежедневно работают два эксперта для проверки соблюдения норм охраны труда, техники безопасности и охраны окружающей среды.</w:t>
      </w:r>
    </w:p>
    <w:p>
      <w:pPr>
        <w:pStyle w:val="220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2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Нулевой - нельзя ничего привозить.</w:t>
      </w:r>
    </w:p>
    <w:p>
      <w:pPr>
        <w:pStyle w:val="4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2.2.Материалы, оборудование и инструменты, запрещенные на площадке</w:t>
      </w:r>
      <w:bookmarkEnd w:id="14"/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>
      <w:pPr>
        <w:pStyle w:val="21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5"/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Приложение №1 Инструкция по заполнению матрицы конкурсного задания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Приложение №2 Матрица конкурсного задания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Приложение №3 Критерии оценки</w:t>
      </w:r>
    </w:p>
    <w:p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Приложение №4 Инструкция по охране труда и технике безопасности по компетенции «Медицинский и социальный уход».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Приложение №5 Легенды статистов 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Приложение №6 Медицинская документация в форме электронного документа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>Приложение №7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едицинская документация для письменного заполнения </w:t>
      </w:r>
    </w:p>
    <w:p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>
      <w:headerReference r:id="rId5" w:type="default"/>
      <w:footerReference r:id="rId6" w:type="default"/>
      <w:pgSz w:w="11906" w:h="16838"/>
      <w:pgMar w:top="1134" w:right="849" w:bottom="1134" w:left="1418" w:header="624" w:footer="170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utigerLTStd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5000" w:type="pct"/>
      <w:jc w:val="center"/>
      <w:tblLayout w:type="autofit"/>
      <w:tblCellMar>
        <w:top w:w="144" w:type="dxa"/>
        <w:left w:w="115" w:type="dxa"/>
        <w:bottom w:w="144" w:type="dxa"/>
        <w:right w:w="115" w:type="dxa"/>
      </w:tblCellMar>
    </w:tblPr>
    <w:tblGrid>
      <w:gridCol w:w="6096"/>
      <w:gridCol w:w="3773"/>
    </w:tblGrid>
    <w:tr>
      <w:tblPrEx>
        <w:tblCellMar>
          <w:top w:w="144" w:type="dxa"/>
          <w:left w:w="115" w:type="dxa"/>
          <w:bottom w:w="144" w:type="dxa"/>
          <w:right w:w="115" w:type="dxa"/>
        </w:tblCellMar>
      </w:tblPrEx>
      <w:trPr>
        <w:jc w:val="center"/>
      </w:trPr>
      <w:tc>
        <w:tcPr>
          <w:tcW w:w="5954" w:type="dxa"/>
          <w:shd w:val="clear" w:color="auto" w:fill="auto"/>
          <w:noWrap w:val="0"/>
          <w:vAlign w:val="center"/>
        </w:tcPr>
        <w:p>
          <w:pPr>
            <w:pStyle w:val="39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noWrap w:val="0"/>
          <w:vAlign w:val="center"/>
        </w:tcPr>
        <w:p>
          <w:pPr>
            <w:pStyle w:val="39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29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>
    <w:pPr>
      <w:pStyle w:val="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1"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tabs>
        <w:tab w:val="right" w:pos="10631"/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pStyle w:val="235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bullet"/>
      <w:pStyle w:val="214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bullet"/>
      <w:pStyle w:val="20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62ECE"/>
    <w:multiLevelType w:val="multilevel"/>
    <w:tmpl w:val="03D62ECE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bullet"/>
      <w:pStyle w:val="22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C0DD3"/>
    <w:rsid w:val="218A4D02"/>
    <w:rsid w:val="2894593D"/>
    <w:rsid w:val="2D0C7850"/>
    <w:rsid w:val="4F26100F"/>
    <w:rsid w:val="6D157A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4"/>
    <w:qFormat/>
    <w:uiPriority w:val="0"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3">
    <w:name w:val="heading 2"/>
    <w:basedOn w:val="1"/>
    <w:next w:val="1"/>
    <w:link w:val="195"/>
    <w:qFormat/>
    <w:uiPriority w:val="0"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4">
    <w:name w:val="heading 3"/>
    <w:basedOn w:val="1"/>
    <w:next w:val="1"/>
    <w:link w:val="196"/>
    <w:qFormat/>
    <w:uiPriority w:val="0"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5">
    <w:name w:val="heading 4"/>
    <w:basedOn w:val="1"/>
    <w:next w:val="1"/>
    <w:link w:val="197"/>
    <w:qFormat/>
    <w:uiPriority w:val="0"/>
    <w:pPr>
      <w:keepNext/>
      <w:widowControl w:val="0"/>
      <w:spacing w:after="0" w:line="360" w:lineRule="auto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6">
    <w:name w:val="heading 5"/>
    <w:basedOn w:val="1"/>
    <w:next w:val="1"/>
    <w:link w:val="198"/>
    <w:qFormat/>
    <w:uiPriority w:val="0"/>
    <w:pPr>
      <w:keepNext/>
      <w:widowControl w:val="0"/>
      <w:spacing w:after="0" w:line="360" w:lineRule="auto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">
    <w:name w:val="heading 6"/>
    <w:basedOn w:val="1"/>
    <w:next w:val="1"/>
    <w:link w:val="199"/>
    <w:qFormat/>
    <w:uiPriority w:val="0"/>
    <w:pPr>
      <w:keepNext/>
      <w:widowControl w:val="0"/>
      <w:spacing w:after="58" w:line="360" w:lineRule="auto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8">
    <w:name w:val="heading 7"/>
    <w:basedOn w:val="1"/>
    <w:next w:val="1"/>
    <w:link w:val="200"/>
    <w:qFormat/>
    <w:uiPriority w:val="0"/>
    <w:pPr>
      <w:keepNext/>
      <w:widowControl w:val="0"/>
      <w:spacing w:after="0" w:line="360" w:lineRule="auto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9">
    <w:name w:val="heading 8"/>
    <w:basedOn w:val="1"/>
    <w:next w:val="1"/>
    <w:link w:val="201"/>
    <w:qFormat/>
    <w:uiPriority w:val="0"/>
    <w:pPr>
      <w:keepNext/>
      <w:widowControl w:val="0"/>
      <w:spacing w:after="0" w:line="360" w:lineRule="auto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10">
    <w:name w:val="heading 9"/>
    <w:basedOn w:val="1"/>
    <w:next w:val="1"/>
    <w:link w:val="202"/>
    <w:qFormat/>
    <w:uiPriority w:val="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6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7">
    <w:name w:val="Hyperlink"/>
    <w:qFormat/>
    <w:uiPriority w:val="99"/>
    <w:rPr>
      <w:color w:val="0000FF"/>
      <w:u w:val="single"/>
    </w:rPr>
  </w:style>
  <w:style w:type="character" w:styleId="18">
    <w:name w:val="page number"/>
    <w:qFormat/>
    <w:uiPriority w:val="0"/>
    <w:rPr>
      <w:rFonts w:ascii="Arial" w:hAnsi="Arial"/>
      <w:sz w:val="16"/>
    </w:rPr>
  </w:style>
  <w:style w:type="paragraph" w:styleId="19">
    <w:name w:val="Balloon Text"/>
    <w:basedOn w:val="1"/>
    <w:link w:val="193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1"/>
    <w:link w:val="210"/>
    <w:semiHidden/>
    <w:qFormat/>
    <w:uiPriority w:val="0"/>
    <w:pPr>
      <w:widowControl w:val="0"/>
      <w:spacing w:after="0" w:line="360" w:lineRule="auto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21">
    <w:name w:val="endnote text"/>
    <w:basedOn w:val="1"/>
    <w:link w:val="187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2">
    <w:name w:val="caption"/>
    <w:basedOn w:val="1"/>
    <w:next w:val="1"/>
    <w:qFormat/>
    <w:uiPriority w:val="0"/>
    <w:pPr>
      <w:widowControl w:val="0"/>
      <w:spacing w:before="240" w:after="0" w:line="360" w:lineRule="auto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23">
    <w:name w:val="annotation text"/>
    <w:basedOn w:val="1"/>
    <w:link w:val="233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4">
    <w:name w:val="annotation subject"/>
    <w:basedOn w:val="23"/>
    <w:next w:val="23"/>
    <w:link w:val="234"/>
    <w:semiHidden/>
    <w:unhideWhenUsed/>
    <w:qFormat/>
    <w:uiPriority w:val="0"/>
    <w:rPr>
      <w:b/>
      <w:bCs/>
    </w:rPr>
  </w:style>
  <w:style w:type="paragraph" w:styleId="25">
    <w:name w:val="footnote text"/>
    <w:basedOn w:val="1"/>
    <w:link w:val="213"/>
    <w:qFormat/>
    <w:uiPriority w:val="0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26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7">
    <w:name w:val="header"/>
    <w:basedOn w:val="1"/>
    <w:link w:val="18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8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Body Text"/>
    <w:basedOn w:val="1"/>
    <w:link w:val="208"/>
    <w:semiHidden/>
    <w:qFormat/>
    <w:uiPriority w:val="0"/>
    <w:pPr>
      <w:widowControl w:val="0"/>
      <w:spacing w:after="0" w:line="360" w:lineRule="auto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31">
    <w:name w:val="toc 1"/>
    <w:basedOn w:val="1"/>
    <w:next w:val="1"/>
    <w:qFormat/>
    <w:uiPriority w:val="39"/>
    <w:pPr>
      <w:tabs>
        <w:tab w:val="right" w:leader="dot" w:pos="9825"/>
      </w:tabs>
      <w:spacing w:after="0" w:line="360" w:lineRule="auto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32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33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34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Times New Roman" w:cs="Times New Roman"/>
      <w:lang w:eastAsia="ru-RU"/>
    </w:rPr>
  </w:style>
  <w:style w:type="paragraph" w:styleId="35">
    <w:name w:val="toc 2"/>
    <w:basedOn w:val="1"/>
    <w:next w:val="1"/>
    <w:qFormat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36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37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38">
    <w:name w:val="Title"/>
    <w:basedOn w:val="1"/>
    <w:next w:val="1"/>
    <w:link w:val="52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9">
    <w:name w:val="footer"/>
    <w:basedOn w:val="1"/>
    <w:link w:val="18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0">
    <w:name w:val="Body Text Indent 2"/>
    <w:basedOn w:val="1"/>
    <w:link w:val="209"/>
    <w:semiHidden/>
    <w:qFormat/>
    <w:uiPriority w:val="0"/>
    <w:pPr>
      <w:spacing w:after="0" w:line="360" w:lineRule="auto"/>
      <w:ind w:left="720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41">
    <w:name w:val="Subtitle"/>
    <w:basedOn w:val="1"/>
    <w:next w:val="1"/>
    <w:link w:val="53"/>
    <w:qFormat/>
    <w:uiPriority w:val="11"/>
    <w:pPr>
      <w:spacing w:before="200" w:after="200"/>
    </w:pPr>
    <w:rPr>
      <w:sz w:val="24"/>
      <w:szCs w:val="24"/>
    </w:rPr>
  </w:style>
  <w:style w:type="table" w:styleId="42">
    <w:name w:val="Table Grid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3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4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45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6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7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8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9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0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1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2">
    <w:name w:val="Title Char"/>
    <w:basedOn w:val="11"/>
    <w:link w:val="38"/>
    <w:qFormat/>
    <w:uiPriority w:val="10"/>
    <w:rPr>
      <w:sz w:val="48"/>
      <w:szCs w:val="48"/>
    </w:rPr>
  </w:style>
  <w:style w:type="character" w:customStyle="1" w:styleId="53">
    <w:name w:val="Subtitle Char"/>
    <w:basedOn w:val="11"/>
    <w:link w:val="41"/>
    <w:qFormat/>
    <w:uiPriority w:val="11"/>
    <w:rPr>
      <w:sz w:val="24"/>
      <w:szCs w:val="24"/>
    </w:rPr>
  </w:style>
  <w:style w:type="paragraph" w:styleId="54">
    <w:name w:val="Quote"/>
    <w:basedOn w:val="1"/>
    <w:next w:val="1"/>
    <w:link w:val="55"/>
    <w:qFormat/>
    <w:uiPriority w:val="29"/>
    <w:pPr>
      <w:ind w:left="720" w:right="720"/>
    </w:pPr>
    <w:rPr>
      <w:i/>
    </w:rPr>
  </w:style>
  <w:style w:type="character" w:customStyle="1" w:styleId="55">
    <w:name w:val="Quote Char"/>
    <w:link w:val="54"/>
    <w:qFormat/>
    <w:uiPriority w:val="29"/>
    <w:rPr>
      <w:i/>
    </w:rPr>
  </w:style>
  <w:style w:type="paragraph" w:styleId="56">
    <w:name w:val="Intense Quote"/>
    <w:basedOn w:val="1"/>
    <w:next w:val="1"/>
    <w:link w:val="57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7">
    <w:name w:val="Intense Quote Char"/>
    <w:link w:val="56"/>
    <w:qFormat/>
    <w:uiPriority w:val="30"/>
    <w:rPr>
      <w:i/>
    </w:rPr>
  </w:style>
  <w:style w:type="character" w:customStyle="1" w:styleId="58">
    <w:name w:val="Header Char"/>
    <w:basedOn w:val="11"/>
    <w:qFormat/>
    <w:uiPriority w:val="99"/>
  </w:style>
  <w:style w:type="character" w:customStyle="1" w:styleId="59">
    <w:name w:val="Footer Char"/>
    <w:basedOn w:val="11"/>
    <w:qFormat/>
    <w:uiPriority w:val="99"/>
  </w:style>
  <w:style w:type="character" w:customStyle="1" w:styleId="60">
    <w:name w:val="Caption Char"/>
    <w:qFormat/>
    <w:uiPriority w:val="99"/>
  </w:style>
  <w:style w:type="table" w:customStyle="1" w:styleId="61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4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5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6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7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8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9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70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71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72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73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74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6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7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8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9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0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1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83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4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5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6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7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8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9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90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91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92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93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94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5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6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7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8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9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100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101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102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CCCE9" w:themeColor="accent1" w:themeShade="95" w:themeTint="80"/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CCCE9" w:themeColor="accent1" w:themeShade="95" w:themeTint="80"/>
      </w:rPr>
    </w:tblStylePr>
    <w:tblStylePr w:type="firstCol">
      <w:rPr>
        <w:b/>
        <w:color w:val="ACCCE9" w:themeColor="accent1" w:themeShade="95" w:themeTint="80"/>
      </w:rPr>
    </w:tblStylePr>
    <w:tblStylePr w:type="lastCol">
      <w:rPr>
        <w:b/>
        <w:color w:val="ACCCE9" w:themeColor="accent1" w:themeShade="95" w:themeTint="80"/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9" w:themeColor="accent1" w:themeShade="95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9" w:themeColor="accent1" w:themeShade="95" w:themeTint="80"/>
        <w:sz w:val="22"/>
      </w:rPr>
    </w:tblStylePr>
  </w:style>
  <w:style w:type="table" w:customStyle="1" w:styleId="104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Shade="95" w:themeTint="97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Shade="95" w:themeTint="97"/>
      </w:rPr>
    </w:tblStylePr>
    <w:tblStylePr w:type="firstCol">
      <w:rPr>
        <w:b/>
        <w:color w:val="F4B285" w:themeColor="accent2" w:themeShade="95" w:themeTint="97"/>
      </w:rPr>
    </w:tblStylePr>
    <w:tblStylePr w:type="lastCol">
      <w:rPr>
        <w:b/>
        <w:color w:val="F4B285" w:themeColor="accent2" w:themeShade="95" w:themeTint="97"/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Shade="95" w:themeTint="97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Shade="95" w:themeTint="97"/>
        <w:sz w:val="22"/>
      </w:rPr>
    </w:tblStylePr>
  </w:style>
  <w:style w:type="table" w:customStyle="1" w:styleId="105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Shade="95" w:themeTint="FE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Shade="95" w:themeTint="FE"/>
      </w:rPr>
    </w:tblStylePr>
    <w:tblStylePr w:type="firstCol">
      <w:rPr>
        <w:b/>
        <w:color w:val="A5A5A5" w:themeColor="accent3" w:themeShade="95" w:themeTint="FE"/>
      </w:rPr>
    </w:tblStylePr>
    <w:tblStylePr w:type="lastCol">
      <w:rPr>
        <w:b/>
        <w:color w:val="A5A5A5" w:themeColor="accent3" w:themeShade="95" w:themeTint="FE"/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Shade="95" w:themeTint="FE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Shade="95" w:themeTint="FE"/>
        <w:sz w:val="22"/>
      </w:rPr>
    </w:tblStylePr>
  </w:style>
  <w:style w:type="table" w:customStyle="1" w:styleId="106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864" w:themeColor="accent4" w:themeShade="95" w:themeTint="9A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864" w:themeColor="accent4" w:themeShade="95" w:themeTint="9A"/>
      </w:rPr>
    </w:tblStylePr>
    <w:tblStylePr w:type="firstCol">
      <w:rPr>
        <w:b/>
        <w:color w:val="FFD864" w:themeColor="accent4" w:themeShade="95" w:themeTint="9A"/>
      </w:rPr>
    </w:tblStylePr>
    <w:tblStylePr w:type="lastCol">
      <w:rPr>
        <w:b/>
        <w:color w:val="FFD864" w:themeColor="accent4" w:themeShade="95" w:themeTint="9A"/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864" w:themeColor="accent4" w:themeShade="95" w:themeTint="9A"/>
        <w:sz w:val="22"/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864" w:themeColor="accent4" w:themeShade="95" w:themeTint="9A"/>
        <w:sz w:val="22"/>
      </w:rPr>
    </w:tblStylePr>
  </w:style>
  <w:style w:type="table" w:customStyle="1" w:styleId="107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4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44175" w:themeColor="accent5" w:themeShade="95"/>
      </w:rPr>
    </w:tblStylePr>
    <w:tblStylePr w:type="firstCol">
      <w:rPr>
        <w:b/>
        <w:color w:val="244175" w:themeColor="accent5" w:themeShade="95"/>
      </w:rPr>
    </w:tblStylePr>
    <w:tblStylePr w:type="lastCol">
      <w:rPr>
        <w:b/>
        <w:color w:val="244175" w:themeColor="accent5" w:themeShade="95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44175" w:themeColor="accent5" w:themeShade="95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44175" w:themeColor="accent5" w:themeShade="95"/>
        <w:sz w:val="22"/>
      </w:rPr>
    </w:tblStylePr>
  </w:style>
  <w:style w:type="table" w:customStyle="1" w:styleId="108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4175" w:themeColor="accent5" w:themeShade="95"/>
      </w:rPr>
    </w:tblStylePr>
    <w:tblStylePr w:type="firstCol">
      <w:rPr>
        <w:b/>
        <w:color w:val="244175" w:themeColor="accent5" w:themeShade="95"/>
      </w:rPr>
    </w:tblStylePr>
    <w:tblStylePr w:type="lastCol">
      <w:rPr>
        <w:b/>
        <w:color w:val="244175" w:themeColor="accent5" w:themeShade="95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5" w:themeColor="accent5" w:themeShade="95"/>
        <w:sz w:val="22"/>
      </w:rPr>
    </w:tblStylePr>
  </w:style>
  <w:style w:type="table" w:customStyle="1" w:styleId="109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10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CCCE9" w:themeColor="accent1" w:themeShade="95" w:themeTint="80"/>
        <w:sz w:val="22"/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9" w:themeColor="accent1" w:themeShade="95" w:themeTint="80"/>
        <w:sz w:val="22"/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9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CCCE9" w:themeColor="accent1" w:themeShade="95" w:themeTint="80"/>
        <w:sz w:val="22"/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9" w:themeColor="accent1" w:themeShade="95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9" w:themeColor="accent1" w:themeShade="95" w:themeTint="80"/>
        <w:sz w:val="22"/>
      </w:rPr>
    </w:tblStylePr>
  </w:style>
  <w:style w:type="table" w:customStyle="1" w:styleId="111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Shade="95" w:themeTint="97"/>
        <w:sz w:val="22"/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Shade="95" w:themeTint="97"/>
        <w:sz w:val="22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Shade="95" w:themeTint="97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Shade="95" w:themeTint="97"/>
        <w:sz w:val="22"/>
      </w:rPr>
    </w:tblStylePr>
  </w:style>
  <w:style w:type="table" w:customStyle="1" w:styleId="112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Shade="95" w:themeTint="FE"/>
        <w:sz w:val="22"/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Shade="95" w:themeTint="FE"/>
        <w:sz w:val="22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Shade="95" w:themeTint="FE"/>
        <w:sz w:val="22"/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Shade="95" w:themeTint="FE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Shade="95" w:themeTint="FE"/>
        <w:sz w:val="22"/>
      </w:rPr>
    </w:tblStylePr>
  </w:style>
  <w:style w:type="table" w:customStyle="1" w:styleId="113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864" w:themeColor="accent4" w:themeShade="95" w:themeTint="9A"/>
        <w:sz w:val="22"/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4" w:themeColor="accent4" w:themeShade="95" w:themeTint="9A"/>
        <w:sz w:val="22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864" w:themeColor="accent4" w:themeShade="95" w:themeTint="9A"/>
        <w:sz w:val="22"/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864" w:themeColor="accent4" w:themeShade="95" w:themeTint="9A"/>
        <w:sz w:val="22"/>
      </w:rPr>
    </w:tblStylePr>
  </w:style>
  <w:style w:type="table" w:customStyle="1" w:styleId="114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44175" w:themeColor="accent5" w:themeShade="95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5" w:themeColor="accent5" w:themeShade="95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5" w:themeColor="accent5" w:themeShade="95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4175" w:themeColor="accent5" w:themeShade="95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44175" w:themeColor="accent5" w:themeShade="95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44175" w:themeColor="accent5" w:themeShade="95"/>
        <w:sz w:val="22"/>
      </w:rPr>
    </w:tblStylePr>
  </w:style>
  <w:style w:type="table" w:customStyle="1" w:styleId="115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529" w:themeColor="accent6" w:themeShade="95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529" w:themeColor="accent6" w:themeShade="95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5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529" w:themeColor="accent6" w:themeShade="95"/>
        <w:sz w:val="22"/>
      </w:rPr>
    </w:tblStylePr>
  </w:style>
  <w:style w:type="table" w:customStyle="1" w:styleId="116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8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9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20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21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22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23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4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25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6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7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8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9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0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1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32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33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34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5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6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7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8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9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40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41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42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43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44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5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46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7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8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9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50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51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2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D" w:themeColor="accent1" w:themeShade="95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D" w:themeColor="accent1" w:themeShade="95"/>
      </w:rPr>
    </w:tblStylePr>
    <w:tblStylePr w:type="lastCol">
      <w:rPr>
        <w:b/>
        <w:color w:val="245B8D" w:themeColor="accent1" w:themeShade="95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D" w:themeColor="accent1" w:themeShade="95"/>
        <w:sz w:val="22"/>
      </w:rPr>
    </w:tblStylePr>
  </w:style>
  <w:style w:type="table" w:customStyle="1" w:styleId="153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Shade="95" w:themeTint="97"/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Shade="95" w:themeTint="97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Shade="95" w:themeTint="97"/>
      </w:rPr>
    </w:tblStylePr>
    <w:tblStylePr w:type="lastCol">
      <w:rPr>
        <w:b/>
        <w:color w:val="F4B285" w:themeColor="accent2" w:themeShade="95" w:themeTint="97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Shade="95" w:themeTint="97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Shade="95" w:themeTint="97"/>
        <w:sz w:val="22"/>
      </w:rPr>
    </w:tblStylePr>
  </w:style>
  <w:style w:type="table" w:customStyle="1" w:styleId="154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Shade="95" w:themeTint="98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Shade="95" w:themeTint="98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Shade="95" w:themeTint="98"/>
      </w:rPr>
    </w:tblStylePr>
    <w:tblStylePr w:type="lastCol">
      <w:rPr>
        <w:b/>
        <w:color w:val="C9C9C9" w:themeColor="accent3" w:themeShade="95" w:themeTint="98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Shade="95" w:themeTint="98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Shade="95" w:themeTint="98"/>
        <w:sz w:val="22"/>
      </w:rPr>
    </w:tblStylePr>
  </w:style>
  <w:style w:type="table" w:customStyle="1" w:styleId="155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864" w:themeColor="accent4" w:themeShade="95" w:themeTint="9A"/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864" w:themeColor="accent4" w:themeShade="95" w:themeTint="9A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864" w:themeColor="accent4" w:themeShade="95" w:themeTint="9A"/>
      </w:rPr>
    </w:tblStylePr>
    <w:tblStylePr w:type="lastCol">
      <w:rPr>
        <w:b/>
        <w:color w:val="FFD864" w:themeColor="accent4" w:themeShade="95" w:themeTint="9A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864" w:themeColor="accent4" w:themeShade="95" w:themeTint="9A"/>
        <w:sz w:val="22"/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864" w:themeColor="accent4" w:themeShade="95" w:themeTint="9A"/>
        <w:sz w:val="22"/>
      </w:rPr>
    </w:tblStylePr>
  </w:style>
  <w:style w:type="table" w:customStyle="1" w:styleId="156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EA9DB" w:themeColor="accent5" w:themeShade="95" w:themeTint="9A"/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EA9DB" w:themeColor="accent5" w:themeShade="95" w:themeTint="9A"/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EA9DB" w:themeColor="accent5" w:themeShade="95" w:themeTint="9A"/>
      </w:rPr>
    </w:tblStylePr>
    <w:tblStylePr w:type="lastCol">
      <w:rPr>
        <w:b/>
        <w:color w:val="8EA9DB" w:themeColor="accent5" w:themeShade="95" w:themeTint="9A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EA9DB" w:themeColor="accent5" w:themeShade="95" w:themeTint="9A"/>
        <w:sz w:val="22"/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EA9DB" w:themeColor="accent5" w:themeShade="95" w:themeTint="9A"/>
        <w:sz w:val="22"/>
      </w:rPr>
    </w:tblStylePr>
  </w:style>
  <w:style w:type="table" w:customStyle="1" w:styleId="157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Shade="95" w:themeTint="98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Shade="95" w:themeTint="98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Shade="95" w:themeTint="98"/>
      </w:rPr>
    </w:tblStylePr>
    <w:tblStylePr w:type="lastCol">
      <w:rPr>
        <w:b/>
        <w:color w:val="A9D08E" w:themeColor="accent6" w:themeShade="95" w:themeTint="98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Shade="95" w:themeTint="98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Shade="95" w:themeTint="98"/>
        <w:sz w:val="22"/>
      </w:rPr>
    </w:tblStylePr>
  </w:style>
  <w:style w:type="table" w:customStyle="1" w:styleId="158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9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D" w:themeColor="accent1" w:themeShade="95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D" w:themeColor="accent1" w:themeShade="95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D" w:themeColor="accent1" w:themeShade="95"/>
        <w:sz w:val="22"/>
      </w:rPr>
    </w:tblStylePr>
  </w:style>
  <w:style w:type="table" w:customStyle="1" w:styleId="160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Shade="95" w:themeTint="97"/>
        <w:sz w:val="22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Shade="95" w:themeTint="97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Shade="95" w:themeTint="97"/>
        <w:sz w:val="22"/>
      </w:rPr>
    </w:tblStylePr>
  </w:style>
  <w:style w:type="table" w:customStyle="1" w:styleId="161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Shade="95" w:themeTint="98"/>
        <w:sz w:val="22"/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Shade="95" w:themeTint="98"/>
        <w:sz w:val="22"/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Shade="95" w:themeTint="98"/>
        <w:sz w:val="22"/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Shade="95" w:themeTint="98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Shade="95" w:themeTint="98"/>
        <w:sz w:val="22"/>
      </w:rPr>
    </w:tblStylePr>
  </w:style>
  <w:style w:type="table" w:customStyle="1" w:styleId="162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4" w:themeColor="accent4" w:themeShade="95" w:themeTint="9A"/>
        <w:sz w:val="22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864" w:themeColor="accent4" w:themeShade="95" w:themeTint="9A"/>
        <w:sz w:val="22"/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864" w:themeColor="accent4" w:themeShade="95" w:themeTint="9A"/>
        <w:sz w:val="22"/>
      </w:rPr>
    </w:tblStylePr>
  </w:style>
  <w:style w:type="table" w:customStyle="1" w:styleId="163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EA9DB" w:themeColor="accent5" w:themeShade="95" w:themeTint="9A"/>
        <w:sz w:val="22"/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9DB" w:themeColor="accent5" w:themeShade="95" w:themeTint="9A"/>
        <w:sz w:val="22"/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9DB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EA9DB" w:themeColor="accent5" w:themeShade="95" w:themeTint="9A"/>
        <w:sz w:val="22"/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EA9DB" w:themeColor="accent5" w:themeShade="95" w:themeTint="9A"/>
        <w:sz w:val="22"/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EA9DB" w:themeColor="accent5" w:themeShade="95" w:themeTint="9A"/>
        <w:sz w:val="22"/>
      </w:rPr>
    </w:tblStylePr>
  </w:style>
  <w:style w:type="table" w:customStyle="1" w:styleId="164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08E" w:themeColor="accent6" w:themeShade="95" w:themeTint="98"/>
        <w:sz w:val="22"/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Shade="95" w:themeTint="98"/>
        <w:sz w:val="22"/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Shade="95" w:themeTint="98"/>
        <w:sz w:val="22"/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Shade="95" w:themeTint="98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Shade="95" w:themeTint="98"/>
        <w:sz w:val="22"/>
      </w:rPr>
    </w:tblStylePr>
  </w:style>
  <w:style w:type="table" w:customStyle="1" w:styleId="165">
    <w:name w:val="Lined - Accent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Lined - Accent 1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7">
    <w:name w:val="Lined - Accent 2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8">
    <w:name w:val="Lined - Accent 3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9">
    <w:name w:val="Lined - Accent 4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0">
    <w:name w:val="Lined - Accent 5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1">
    <w:name w:val="Lined - Accent 6"/>
    <w:basedOn w:val="1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2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3">
    <w:name w:val="Bordered &amp; Lined - Accent 1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74">
    <w:name w:val="Bordered &amp; Lined - Accent 2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5">
    <w:name w:val="Bordered &amp; Lined - Accent 3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6">
    <w:name w:val="Bordered &amp; Lined - Accent 4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7">
    <w:name w:val="Bordered &amp; Lined - Accent 5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8">
    <w:name w:val="Bordered &amp; Lined - Accent 6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9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80">
    <w:name w:val="Bordered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81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82">
    <w:name w:val="Bordered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83">
    <w:name w:val="Bordered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84">
    <w:name w:val="Bordered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5">
    <w:name w:val="Bordered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6">
    <w:name w:val="Footnote Text Char"/>
    <w:qFormat/>
    <w:uiPriority w:val="99"/>
    <w:rPr>
      <w:sz w:val="18"/>
    </w:rPr>
  </w:style>
  <w:style w:type="character" w:customStyle="1" w:styleId="187">
    <w:name w:val="Endnote Text Char"/>
    <w:link w:val="21"/>
    <w:qFormat/>
    <w:uiPriority w:val="99"/>
    <w:rPr>
      <w:sz w:val="20"/>
    </w:rPr>
  </w:style>
  <w:style w:type="character" w:customStyle="1" w:styleId="188">
    <w:name w:val="Верхний колонтитул Знак"/>
    <w:basedOn w:val="11"/>
    <w:link w:val="27"/>
    <w:qFormat/>
    <w:uiPriority w:val="99"/>
  </w:style>
  <w:style w:type="character" w:customStyle="1" w:styleId="189">
    <w:name w:val="Нижний колонтитул Знак"/>
    <w:basedOn w:val="11"/>
    <w:link w:val="39"/>
    <w:qFormat/>
    <w:uiPriority w:val="99"/>
  </w:style>
  <w:style w:type="paragraph" w:styleId="190">
    <w:name w:val="No Spacing"/>
    <w:link w:val="191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91">
    <w:name w:val="Без интервала Знак"/>
    <w:basedOn w:val="11"/>
    <w:link w:val="190"/>
    <w:qFormat/>
    <w:uiPriority w:val="1"/>
    <w:rPr>
      <w:rFonts w:eastAsiaTheme="minorEastAsia"/>
      <w:lang w:eastAsia="ru-RU"/>
    </w:rPr>
  </w:style>
  <w:style w:type="character" w:styleId="192">
    <w:name w:val="Placeholder Text"/>
    <w:basedOn w:val="11"/>
    <w:semiHidden/>
    <w:qFormat/>
    <w:uiPriority w:val="99"/>
    <w:rPr>
      <w:color w:val="808080"/>
    </w:rPr>
  </w:style>
  <w:style w:type="character" w:customStyle="1" w:styleId="193">
    <w:name w:val="Текст выноски Знак"/>
    <w:basedOn w:val="11"/>
    <w:link w:val="19"/>
    <w:qFormat/>
    <w:uiPriority w:val="0"/>
    <w:rPr>
      <w:rFonts w:ascii="Tahoma" w:hAnsi="Tahoma" w:cs="Tahoma"/>
      <w:sz w:val="16"/>
      <w:szCs w:val="16"/>
    </w:rPr>
  </w:style>
  <w:style w:type="character" w:customStyle="1" w:styleId="194">
    <w:name w:val="Заголовок 1 Знак"/>
    <w:basedOn w:val="11"/>
    <w:link w:val="2"/>
    <w:qFormat/>
    <w:uiPriority w:val="0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customStyle="1" w:styleId="195">
    <w:name w:val="Заголовок 2 Знак"/>
    <w:basedOn w:val="11"/>
    <w:link w:val="3"/>
    <w:qFormat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196">
    <w:name w:val="Заголовок 3 Знак"/>
    <w:basedOn w:val="11"/>
    <w:link w:val="4"/>
    <w:qFormat/>
    <w:uiPriority w:val="0"/>
    <w:rPr>
      <w:rFonts w:ascii="Arial" w:hAnsi="Arial" w:eastAsia="Times New Roman" w:cs="Arial"/>
      <w:b/>
      <w:bCs/>
      <w:szCs w:val="26"/>
      <w:lang w:val="en-GB"/>
    </w:rPr>
  </w:style>
  <w:style w:type="character" w:customStyle="1" w:styleId="197">
    <w:name w:val="Заголовок 4 Знак"/>
    <w:basedOn w:val="11"/>
    <w:link w:val="5"/>
    <w:qFormat/>
    <w:uiPriority w:val="0"/>
    <w:rPr>
      <w:rFonts w:ascii="Arial" w:hAnsi="Arial" w:eastAsia="Times New Roman" w:cs="Times New Roman"/>
      <w:b/>
      <w:sz w:val="28"/>
      <w:szCs w:val="20"/>
      <w:lang w:val="en-AU"/>
    </w:rPr>
  </w:style>
  <w:style w:type="character" w:customStyle="1" w:styleId="198">
    <w:name w:val="Заголовок 5 Знак"/>
    <w:basedOn w:val="11"/>
    <w:link w:val="6"/>
    <w:qFormat/>
    <w:uiPriority w:val="0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customStyle="1" w:styleId="199">
    <w:name w:val="Заголовок 6 Знак"/>
    <w:basedOn w:val="11"/>
    <w:link w:val="7"/>
    <w:qFormat/>
    <w:uiPriority w:val="0"/>
    <w:rPr>
      <w:rFonts w:ascii="Arial" w:hAnsi="Arial" w:eastAsia="Times New Roman" w:cs="Times New Roman"/>
      <w:b/>
      <w:sz w:val="24"/>
      <w:szCs w:val="20"/>
      <w:lang w:val="en-AU"/>
    </w:rPr>
  </w:style>
  <w:style w:type="character" w:customStyle="1" w:styleId="200">
    <w:name w:val="Заголовок 7 Знак"/>
    <w:basedOn w:val="11"/>
    <w:link w:val="8"/>
    <w:qFormat/>
    <w:uiPriority w:val="0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customStyle="1" w:styleId="201">
    <w:name w:val="Заголовок 8 Знак"/>
    <w:basedOn w:val="11"/>
    <w:link w:val="9"/>
    <w:qFormat/>
    <w:uiPriority w:val="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customStyle="1" w:styleId="202">
    <w:name w:val="Заголовок 9 Знак"/>
    <w:basedOn w:val="11"/>
    <w:link w:val="10"/>
    <w:qFormat/>
    <w:uiPriority w:val="0"/>
    <w:rPr>
      <w:rFonts w:ascii="Arial" w:hAnsi="Arial" w:eastAsia="Times New Roman" w:cs="Times New Roman"/>
      <w:sz w:val="24"/>
      <w:szCs w:val="20"/>
      <w:u w:val="single"/>
      <w:lang w:val="en-AU"/>
    </w:rPr>
  </w:style>
  <w:style w:type="paragraph" w:customStyle="1" w:styleId="203">
    <w:name w:val="numbered list"/>
    <w:basedOn w:val="204"/>
    <w:qFormat/>
    <w:uiPriority w:val="0"/>
    <w:pPr>
      <w:tabs>
        <w:tab w:val="left" w:pos="360"/>
      </w:tabs>
    </w:pPr>
  </w:style>
  <w:style w:type="paragraph" w:customStyle="1" w:styleId="204">
    <w:name w:val="bullet"/>
    <w:basedOn w:val="1"/>
    <w:qFormat/>
    <w:uiPriority w:val="0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paragraph" w:customStyle="1" w:styleId="205">
    <w:name w:val="Doc subtitle1"/>
    <w:basedOn w:val="1"/>
    <w:link w:val="212"/>
    <w:qFormat/>
    <w:uiPriority w:val="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customStyle="1" w:styleId="206">
    <w:name w:val="Doc subtitle2"/>
    <w:basedOn w:val="1"/>
    <w:qFormat/>
    <w:uiPriority w:val="0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customStyle="1" w:styleId="207">
    <w:name w:val="Doc title"/>
    <w:basedOn w:val="1"/>
    <w:qFormat/>
    <w:uiPriority w:val="0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character" w:customStyle="1" w:styleId="208">
    <w:name w:val="Основной текст Знак"/>
    <w:basedOn w:val="11"/>
    <w:link w:val="30"/>
    <w:semiHidden/>
    <w:qFormat/>
    <w:uiPriority w:val="0"/>
    <w:rPr>
      <w:rFonts w:ascii="Arial" w:hAnsi="Arial" w:eastAsia="Times New Roman" w:cs="Times New Roman"/>
      <w:sz w:val="24"/>
      <w:szCs w:val="20"/>
      <w:lang w:val="en-AU"/>
    </w:rPr>
  </w:style>
  <w:style w:type="character" w:customStyle="1" w:styleId="209">
    <w:name w:val="Основной текст с отступом 2 Знак"/>
    <w:basedOn w:val="11"/>
    <w:link w:val="40"/>
    <w:semiHidden/>
    <w:qFormat/>
    <w:uiPriority w:val="0"/>
    <w:rPr>
      <w:rFonts w:ascii="Arial" w:hAnsi="Arial" w:eastAsia="Times New Roman" w:cs="Times New Roman"/>
      <w:sz w:val="24"/>
      <w:szCs w:val="20"/>
      <w:lang w:val="en-US"/>
    </w:rPr>
  </w:style>
  <w:style w:type="character" w:customStyle="1" w:styleId="210">
    <w:name w:val="Основной текст 2 Знак"/>
    <w:basedOn w:val="11"/>
    <w:link w:val="20"/>
    <w:semiHidden/>
    <w:qFormat/>
    <w:uiPriority w:val="0"/>
    <w:rPr>
      <w:rFonts w:ascii="Arial" w:hAnsi="Arial" w:eastAsia="Times New Roman" w:cs="Times New Roman"/>
      <w:spacing w:val="-3"/>
      <w:szCs w:val="20"/>
      <w:lang w:val="en-US"/>
    </w:rPr>
  </w:style>
  <w:style w:type="paragraph" w:customStyle="1" w:styleId="211">
    <w:name w:val="Абзац списка1"/>
    <w:basedOn w:val="1"/>
    <w:qFormat/>
    <w:uiPriority w:val="0"/>
    <w:pPr>
      <w:spacing w:after="0" w:line="360" w:lineRule="auto"/>
      <w:ind w:left="720"/>
    </w:pPr>
    <w:rPr>
      <w:rFonts w:ascii="Arial" w:hAnsi="Arial" w:eastAsia="Times New Roman" w:cs="Times New Roman"/>
      <w:szCs w:val="24"/>
      <w:lang w:val="en-GB"/>
    </w:rPr>
  </w:style>
  <w:style w:type="character" w:customStyle="1" w:styleId="212">
    <w:name w:val="Doc subtitle1 Char"/>
    <w:link w:val="205"/>
    <w:qFormat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213">
    <w:name w:val="Текст сноски Знак"/>
    <w:basedOn w:val="11"/>
    <w:link w:val="25"/>
    <w:qFormat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214">
    <w:name w:val="цветной текст"/>
    <w:basedOn w:val="1"/>
    <w:qFormat/>
    <w:uiPriority w:val="0"/>
    <w:pPr>
      <w:numPr>
        <w:ilvl w:val="0"/>
        <w:numId w:val="2"/>
      </w:numPr>
      <w:spacing w:after="0" w:line="360" w:lineRule="auto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customStyle="1" w:styleId="215">
    <w:name w:val="538552DCBB0F4C4BB087ED922D6A6322"/>
    <w:qFormat/>
    <w:uiPriority w:val="0"/>
    <w:pPr>
      <w:spacing w:before="0" w:beforeAutospacing="0" w:after="200" w:afterAutospacing="0" w:line="276" w:lineRule="auto"/>
    </w:pPr>
    <w:rPr>
      <w:rFonts w:hint="default"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16">
    <w:name w:val="выделение цвет"/>
    <w:basedOn w:val="1"/>
    <w:link w:val="227"/>
    <w:qFormat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217">
    <w:name w:val="цвет в таблице"/>
    <w:qFormat/>
    <w:uiPriority w:val="0"/>
    <w:rPr>
      <w:color w:val="2C8DE6"/>
    </w:rPr>
  </w:style>
  <w:style w:type="paragraph" w:customStyle="1" w:styleId="218">
    <w:name w:val="TOC Heading"/>
    <w:basedOn w:val="2"/>
    <w:next w:val="1"/>
    <w:semiHidden/>
    <w:unhideWhenUsed/>
    <w:qFormat/>
    <w:uiPriority w:val="39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customStyle="1" w:styleId="219">
    <w:name w:val="!Заголовок-1"/>
    <w:basedOn w:val="2"/>
    <w:link w:val="221"/>
    <w:qFormat/>
    <w:uiPriority w:val="0"/>
    <w:rPr>
      <w:lang w:val="ru-RU"/>
    </w:rPr>
  </w:style>
  <w:style w:type="paragraph" w:customStyle="1" w:styleId="220">
    <w:name w:val="!заголовок-2"/>
    <w:basedOn w:val="3"/>
    <w:link w:val="223"/>
    <w:qFormat/>
    <w:uiPriority w:val="0"/>
    <w:rPr>
      <w:lang w:val="ru-RU"/>
    </w:rPr>
  </w:style>
  <w:style w:type="character" w:customStyle="1" w:styleId="221">
    <w:name w:val="!Заголовок-1 Знак"/>
    <w:link w:val="219"/>
    <w:qFormat/>
    <w:uiPriority w:val="0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customStyle="1" w:styleId="222">
    <w:name w:val="!Текст"/>
    <w:basedOn w:val="1"/>
    <w:link w:val="225"/>
    <w:qFormat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223">
    <w:name w:val="!заголовок-2 Знак"/>
    <w:link w:val="220"/>
    <w:qFormat/>
    <w:uiPriority w:val="0"/>
    <w:rPr>
      <w:rFonts w:ascii="Arial" w:hAnsi="Arial" w:eastAsia="Times New Roman" w:cs="Times New Roman"/>
      <w:b/>
      <w:sz w:val="28"/>
      <w:szCs w:val="24"/>
    </w:rPr>
  </w:style>
  <w:style w:type="paragraph" w:customStyle="1" w:styleId="224">
    <w:name w:val="!Синий заголовок текста"/>
    <w:basedOn w:val="216"/>
    <w:link w:val="228"/>
    <w:qFormat/>
    <w:uiPriority w:val="0"/>
  </w:style>
  <w:style w:type="character" w:customStyle="1" w:styleId="225">
    <w:name w:val="!Текст Знак"/>
    <w:link w:val="222"/>
    <w:qFormat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226">
    <w:name w:val="!Список с точками"/>
    <w:basedOn w:val="1"/>
    <w:link w:val="230"/>
    <w:qFormat/>
    <w:uiPriority w:val="0"/>
    <w:pPr>
      <w:numPr>
        <w:ilvl w:val="0"/>
        <w:numId w:val="3"/>
      </w:num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227">
    <w:name w:val="выделение цвет Знак"/>
    <w:link w:val="216"/>
    <w:qFormat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228">
    <w:name w:val="!Синий заголовок текста Знак"/>
    <w:link w:val="224"/>
    <w:qFormat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229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230">
    <w:name w:val="!Список с точками Знак"/>
    <w:link w:val="226"/>
    <w:qFormat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231">
    <w:name w:val="Базовый"/>
    <w:qFormat/>
    <w:uiPriority w:val="0"/>
    <w:pPr>
      <w:spacing w:before="0" w:beforeAutospacing="0" w:after="200" w:afterAutospacing="0" w:line="276" w:lineRule="auto"/>
    </w:pPr>
    <w:rPr>
      <w:rFonts w:hint="default" w:ascii="Times New Roman" w:hAnsi="Times New Roman" w:eastAsia="DejaVu Sans" w:cs="Times New Roman"/>
      <w:sz w:val="24"/>
      <w:szCs w:val="24"/>
      <w:lang w:val="ru-RU" w:eastAsia="en-US" w:bidi="ar-SA"/>
    </w:rPr>
  </w:style>
  <w:style w:type="character" w:customStyle="1" w:styleId="232">
    <w:name w:val="Интернет-ссылка"/>
    <w:qFormat/>
    <w:uiPriority w:val="0"/>
    <w:rPr>
      <w:color w:val="0000FF"/>
      <w:u w:val="single"/>
      <w:lang w:val="ru-RU" w:eastAsia="ru-RU" w:bidi="ru-RU"/>
    </w:rPr>
  </w:style>
  <w:style w:type="character" w:customStyle="1" w:styleId="233">
    <w:name w:val="Текст примечания Знак"/>
    <w:basedOn w:val="11"/>
    <w:link w:val="23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34">
    <w:name w:val="Тема примечания Знак"/>
    <w:basedOn w:val="233"/>
    <w:link w:val="24"/>
    <w:semiHidden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35">
    <w:name w:val="Lista Black"/>
    <w:basedOn w:val="30"/>
    <w:qFormat/>
    <w:uiPriority w:val="1"/>
    <w:pPr>
      <w:keepNext/>
      <w:numPr>
        <w:ilvl w:val="0"/>
        <w:numId w:val="4"/>
      </w:numPr>
      <w:spacing w:after="120" w:line="240" w:lineRule="auto"/>
      <w:jc w:val="left"/>
    </w:pPr>
    <w:rPr>
      <w:rFonts w:ascii="Calibri" w:hAnsi="Calibri" w:eastAsia="FrutigerLTStd-Light" w:cstheme="minorBidi"/>
      <w:sz w:val="20"/>
      <w:lang w:val="en-US"/>
    </w:rPr>
  </w:style>
  <w:style w:type="character" w:customStyle="1" w:styleId="236">
    <w:name w:val="Основной текст (14)_"/>
    <w:basedOn w:val="11"/>
    <w:link w:val="237"/>
    <w:qFormat/>
    <w:uiPriority w:val="0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customStyle="1" w:styleId="237">
    <w:name w:val="Основной текст (14)_3"/>
    <w:basedOn w:val="1"/>
    <w:link w:val="236"/>
    <w:qFormat/>
    <w:uiPriority w:val="0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eastAsia="Segoe UI" w:cs="Segoe UI"/>
      <w:sz w:val="19"/>
      <w:szCs w:val="19"/>
    </w:rPr>
  </w:style>
  <w:style w:type="character" w:customStyle="1" w:styleId="238">
    <w:name w:val="Неразрешенное упоминание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9">
    <w:name w:val="Неразрешенное упоминание2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0">
    <w:name w:val="Нормальный (таблица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customStyle="1" w:styleId="241">
    <w:name w:val="Прижатый влево"/>
    <w:basedOn w:val="1"/>
    <w:next w:val="1"/>
    <w:qFormat/>
    <w:uiPriority w:val="99"/>
    <w:pPr>
      <w:widowControl w:val="0"/>
      <w:spacing w:after="0" w:line="240" w:lineRule="auto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C544-50C2-4D1A-B91C-096D5EB8A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ScaleCrop>false</ScaleCrop>
  <LinksUpToDate>false</LinksUpToDate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2023-01-28T13:32:00Z</dcterms:created>
  <dc:creator>Copyright ©«Ворлдскиллс Россия» (Экспедирование грузов)</dc:creator>
  <cp:lastModifiedBy>Оксана Пантелеева</cp:lastModifiedBy>
  <dcterms:modified xsi:type="dcterms:W3CDTF">2023-03-27T15:56:19Z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F8DAD9E65FF7468299D65A4F773B6A32</vt:lpwstr>
  </property>
</Properties>
</file>