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"/>
          <w:szCs w:val="32"/>
        </w:rPr>
      </w:pP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</w:p>
    <w:tbl>
      <w:tblPr>
        <w:tblpPr w:horzAnchor="margin" w:tblpXSpec="left" w:vertAnchor="text" w:tblpY="188" w:leftFromText="180" w:topFromText="0" w:rightFromText="180" w:bottomFromText="0"/>
        <w:tblW w:w="96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046"/>
        <w:gridCol w:w="6566"/>
      </w:tblGrid>
      <w:tr>
        <w:trPr>
          <w:trHeight w:val="1500"/>
        </w:trPr>
        <w:tc>
          <w:tcPr>
            <w:tcBorders/>
            <w:tcW w:w="3046" w:type="dxa"/>
            <w:vAlign w:val="center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 w:left="-170"/>
              <w:jc w:val="both"/>
              <w:rPr>
                <w:rFonts w:cs="Times New Roman"/>
                <w:i/>
                <w:color w:val="ff0000"/>
                <w:sz w:val="24"/>
              </w:rPr>
            </w:pPr>
            <w:r>
              <w:rPr>
                <w:rFonts w:cs="Times New Roman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885825"/>
                      <wp:effectExtent l="0" t="0" r="0" b="0"/>
                      <wp:docPr id="1" name="Рисунок 2" descr="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rcRect l="29684" t="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95474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9.25pt;height:69.75pt;mso-wrap-distance-left:0.00pt;mso-wrap-distance-top:0.00pt;mso-wrap-distance-right:0.00pt;mso-wrap-distance-bottom:0.00pt;z-index:1;" stroked="f">
                      <v:imagedata r:id="rId16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cs="Times New Roman"/>
                <w:i/>
                <w:color w:val="ff0000"/>
                <w:sz w:val="24"/>
              </w:rPr>
            </w:r>
            <w:r>
              <w:rPr>
                <w:rFonts w:cs="Times New Roman"/>
                <w:i/>
                <w:color w:val="ff0000"/>
                <w:sz w:val="24"/>
              </w:rPr>
            </w:r>
          </w:p>
        </w:tc>
        <w:tc>
          <w:tcPr>
            <w:tcBorders/>
            <w:tcW w:w="6566" w:type="dxa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Комитет по здравоохранению Санкт-Петербурга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Санкт-Петербургское 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«Медицинский колледж № 1»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558"/>
        <w:gridCol w:w="4559"/>
      </w:tblGrid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Введено в действие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приказом 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55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pBdr/>
              <w:spacing w:after="0"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01»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сентября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сопровождении иностранных обучающихся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keepNext w:val="true"/>
        <w:keepLines w:val="true"/>
        <w:pBdr/>
        <w:spacing w:after="154" w:line="259" w:lineRule="auto"/>
        <w:ind w:right="568" w:hanging="240" w:left="802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Общие положения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708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1.1. Настоящее положение о порядке сопровождения иностранных гражд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ан в СПб ГБ ПОУ «Медицинский колледж №1» (далее – Колледж) разработано в соответствии с Федеральным законом РФ от 29 декабря 2012 г. № 273-ФЗ «Об образовании в Российской Федерации», Федеральным законом от 25.07.2002 г. № 115-ФЗ «О правовом поло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жении иностранных граждан в Российской Федерации»,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Уставом Колледжа,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и  иными нормативными актами Колледжа.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708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1.2. Настоящее положение определяет порядок  сопровождения иностранных граждан и лиц без гражданства в Колледже.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708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1.3. Прием и обучение иностранных граждан в Колледже осуществляется в соответствии с законодательством Российской Федерации, Уставом Колледжа, настоящим положением, договорами и иными локальными нормативными актами.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708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1.4. Настоящее положение распространяет свое действие в отношении иностранных граждан и лиц без гражданства, которые являются  студентами и вводится в целях упорядочения их пребывания и обучения в Колледже.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708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1.5. В настоящем положении под иностранными студентами понимаются иностранные граждане и лица без гражданства, обучающиеся в Колледже по программам среднего профессионального образования.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70" w:line="259" w:lineRule="auto"/>
        <w:ind w:left="708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keepNext w:val="true"/>
        <w:keepLines w:val="true"/>
        <w:pBdr/>
        <w:spacing w:after="154" w:line="259" w:lineRule="auto"/>
        <w:ind w:right="576" w:hanging="240" w:left="802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Визовая поддержка иностранных  обучающихся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2.1. Организация визовой поддержки и подготовка заявлений для оформления приглашения на въезд осуществляется представитель Колледжа.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2.2. Иностранные  обучающиеся могут пересекать границу РФ, как правило, только при наличии визы.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2.3. Без визы въехать на территорию Российской Федерации могут только граждане государств, с которыми заключены международные соглашения, предусматривающие въезд, выезд, передвижение, транзитный проезд и пребывание в Российской Федерации без виз.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2.4. Граждане государств, с которыми заключены международные соглашения, предусматривающие въезд, выезд, передвижение, транзитный проезд и пребывание в Российской Федерации без виз могут въехать в Российскую Федерацию только по паспорту иностранн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ого гражданина. Первоначальный срок пребывания в Российской Федерации не может превышать 90 суток. После заключения договора на обучение в соответствии с законодательством Российской Федерации срок временного пребывания продлевается на срок действия догово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ра, но не более чем на 1 год, исчисляемый со дня въезда иностранного гражданина в Российскую Федерацию. Решение о продлении срока временного пребывания принимается территориальным органом Федеральной миграционной службы (ФМС) по месту нахождения Колледжа.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2.5. Из государств с визовым порядком въезда иностранные граждане на учебу въезжают при наличии обыкновенной учебной визы. Указанная виза выдается дипломатическим представительством или консульским учреждением Российской Федерации за гр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аницей. Основанием для выдачи иностранному гражданину обыкновенной учебной визы является приглашение на въезд в Российскую Федерацию, оформленное территориальным органом ФМС в соответствии с федеральным законом по заявлению принимающей стороны – Колледжа.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2.6. Первоначально указанная виза выдается на срок до 3 месяцев с возможностью последующего ее продления территориальным органом ФМС по месту регистрации иностранного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гражданина на срок действия договора на обучение, но не более чем на 1 год для каждой последующей визы. Продление срока действия визы возможно только при сохранении категории, вида, количества разрешенных въездов и цели поездки иностранного гражданина. 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2.7. Для продления срока действия учебной визы иностранный студент должен не позднее, чем за 30 дней до окончания визы, представить представителю Колледжа следующие документы: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8"/>
        </w:numPr>
        <w:pBdr/>
        <w:spacing w:after="12" w:line="388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документ, по которому был осуществлен въезд на территорию РФ (паспорт или удостоверение личности);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8"/>
        </w:numPr>
        <w:pBdr/>
        <w:spacing w:after="161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2 фото размером 3х4 см (черно-белые или цветные);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8"/>
        </w:numPr>
        <w:pBdr/>
        <w:spacing w:after="159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квитанцию об оплате государственной пошлины за визу;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8"/>
        </w:numPr>
        <w:pBdr/>
        <w:spacing w:after="12" w:line="388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отрывную часть уведомления о прибытии иностранного гражданина в место пребывания; - действующую визу;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0" w:line="259" w:lineRule="auto"/>
        <w:ind w:firstLine="0" w:left="56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-миграционную карту;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Bdr/>
        <w:spacing w:after="0" w:line="259" w:lineRule="auto"/>
        <w:ind w:firstLine="0" w:left="566"/>
        <w:jc w:val="both"/>
        <w:rPr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заполненную визовую анкету </w:t>
      </w:r>
      <w:r>
        <w:rPr>
          <w:highlight w:val="none"/>
        </w:rPr>
      </w:r>
      <w:r>
        <w:rPr>
          <w:highlight w:val="none"/>
        </w:rPr>
      </w:r>
    </w:p>
    <w:p>
      <w:pPr>
        <w:numPr>
          <w:ilvl w:val="0"/>
          <w:numId w:val="18"/>
        </w:numPr>
        <w:pBdr/>
        <w:spacing w:after="115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копию договора на обучение.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67" w:line="259" w:lineRule="auto"/>
        <w:ind w:left="566"/>
        <w:jc w:val="center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Приглашение на въезд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3.1. Пригл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ашение на въезд в Российскую Федерацию иностранного гражданина выдается территориальными органами ФМС по месту нахождения Колледжа и предназначено для использования при обращении иностранного гражданина в дипломатическое представительство РФ за границей.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3.2. Для оформления визового приглашения иностранные  студенты Колледжа должн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ы не менее чем за 2 месяца до планируемого визита в Российскую Федерацию обратиться в Колледж , представить копию действующего документа, по которому планируется въезд на территорию Российской Федерации, а также сообщить следующие сведения: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59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предполагаемый срок въезда в Российскую Федерацию;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55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фамилию, имя, отчество (если есть), написанные русскими и латинскими буквами;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45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дату рождения;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59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пол;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58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гражданство (подданство);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62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государство рождения, точное место рождения;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59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государство постоянного проживания (страна и регион проживания);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61" w:line="259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место работы или учебы в государстве постоянного проживания, адрес;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19"/>
        </w:numPr>
        <w:pBdr/>
        <w:spacing w:after="12" w:line="388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место предполагаемого получения визы (страна и город, где находится консульское загранучреждение Российской Федерации).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3.3. Оформление приглашения в территориальном органе ФМС по месту нахождения учебного заведения занимает 20 рабочих дней.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63" w:line="259" w:lineRule="auto"/>
        <w:ind w:left="566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keepNext w:val="true"/>
        <w:keepLines w:val="true"/>
        <w:pBdr/>
        <w:spacing w:after="154" w:line="259" w:lineRule="auto"/>
        <w:ind w:right="1" w:hanging="240" w:left="802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Миграционная карта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4.1. При въезде в Российскую Федерацию кажд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ый иностранный гражданин на границе получает миграционную карту – документ, содержащий сведения об иностранном гражданине, въезжающем в РФ, а также служащий для контроля за временным пребыванием иностранного гражданина в РФ. Бланки миграционной карты выдаю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тся иностранным гражданам при въезде в РФ бесплатно должностными лицами органов иммиграционного (пограничного) контроля либо представителями организаций, оказывающих транспортные услуги иностранным гражданам, въезжающим на территорию Российской Федерации.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4.2. Бланк миграционной карты заполняется на русском языке. В случае если въезжающий не владеет русским языком, допускается заполнить сведения о себе буквами латинского алфавита в соответствии с данными, указанными в документе, удостоверяющем личность.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4.3. Заполненная миграционная карта представляется сотруднику пограничной службы, который проверяет внесенные в нее сведения, ставит в ней отметки о дате пересечения границы и вносит соответствующую информацию в электронную базу данных.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4.4. В случае порчи или утраты миграционной карты въезжающий о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бязан в течение 3 дней заявить об этом в ближайший по месту своего нахождения территориальный орган ФМС, где при предъявлении документов, на основании которых он въехал на территорию Российской Федерации, он бесплатно получит дубликат миграционной карты.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4.5. При выезде из Российской Федерации иностранному гражданину необходимо сдать миграционную карту в пункте пропуска через государственную границу Российской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15" w:line="259" w:lineRule="auto"/>
        <w:ind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Федерации должностному лицу органа пограничного контроля.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66" w:line="259" w:lineRule="auto"/>
        <w:ind w:left="566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keepNext w:val="true"/>
        <w:keepLines w:val="true"/>
        <w:pBdr/>
        <w:spacing w:after="155" w:line="259" w:lineRule="auto"/>
        <w:ind w:hanging="240" w:left="1606"/>
        <w:outlineLvl w:val="0"/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Постановка на миграционный учет иностранных обучающихся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5.1. Все иностранные обучающиеся, временно пребывающие на территории Российской Федерации, должны встать на миграционный учет в течение 7 рабочих дней с да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ты въезда в Российскую Федерацию, указанной в миграционной карте. Это правило применимо ко всем, вне зависимости от того, гражданином какой страны является иностранец или каков режим его въезда на территорию Российской Федерации (визовый или безвизовый).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5.2. Ответ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ственность за постановку временно пребывающего в Российскую Федерацию иностранного обучающегося на миграционный учет возложена на принимающую сторону – Колледж. Для организации миграционного учёта приказом директора Колледжа назначается ответственное лицо.</w:t>
      </w:r>
      <w:r>
        <w:rPr>
          <w:color w:val="000000"/>
          <w:sz w:val="24"/>
          <w:lang w:eastAsia="ru-RU"/>
        </w:rPr>
        <w:t xml:space="preserve"> 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5.3. После пересечения границы временно прибывающий в Российскую Федерацию иностранец должен в первый рабочий день обратиться в Колледж, предъявив следующие документы: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2" w:line="388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действительный национальный паспорт либо иной документ, удостоверяющий его личность и признаваемый в таком качестве в Российской Федерации;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62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визу (при ее наличии);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2" w:line="388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миграционную карту с отметкой органа пограничного контроля о въезде в Российскую Федерацию (за исключением граждан Республики Беларусь).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57" w:line="259" w:lineRule="auto"/>
        <w:ind w:firstLine="0" w:left="556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  <w:t xml:space="preserve">отрывную часть бланка уведомления о прибытии иностранного гражданина.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r>
    </w:p>
    <w:p>
      <w:pPr>
        <w:numPr>
          <w:ilvl w:val="0"/>
          <w:numId w:val="27"/>
        </w:numPr>
        <w:pBdr/>
        <w:spacing w:after="157" w:line="259" w:lineRule="auto"/>
        <w:ind w:firstLine="556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пройти медицинское освидетельствование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r>
    </w:p>
    <w:p>
      <w:pPr>
        <w:numPr>
          <w:ilvl w:val="0"/>
          <w:numId w:val="27"/>
        </w:numPr>
        <w:pBdr/>
        <w:spacing w:after="157" w:line="259" w:lineRule="auto"/>
        <w:ind w:firstLine="556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дактилоскопическую регистрацию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r>
    </w:p>
    <w:p>
      <w:pPr>
        <w:pBdr/>
        <w:tabs>
          <w:tab w:val="left" w:leader="none" w:pos="567"/>
        </w:tabs>
        <w:spacing w:after="12" w:line="388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      5.4   При каждом новом пересечении границы Российской Федерации процедура регистрации повторяется.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2" w:line="388" w:lineRule="auto"/>
        <w:ind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      5.5  Иностранным гражданам, которые беспрерывно находятся на территории РФ в течение учебного года, необходимо продлевать срок постановки на миграционны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й учет. Для продления сроков постановки на миграционный учет иностранные граждане,  должны не позднее, чем за 25 дней до окончания срока постановки представить ответственному лицу за миграционный учёт следующие документы: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62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документ, по которому был осуществлен въезд на территорию Российской Федерации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56" w:line="259" w:lineRule="auto"/>
        <w:ind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(паспорт, удостоверение личности);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62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миграционная карта;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56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копия отрывной части бланка уведомления о прибытии иностранного гражданина;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58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виза (при наличии);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numPr>
          <w:ilvl w:val="0"/>
          <w:numId w:val="20"/>
        </w:numPr>
        <w:pBdr/>
        <w:spacing w:after="157" w:line="259" w:lineRule="auto"/>
        <w:ind w:firstLine="556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договор на обучение.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left" w:leader="none" w:pos="567"/>
          <w:tab w:val="left" w:leader="none" w:pos="992"/>
          <w:tab w:val="left" w:leader="none" w:pos="1134"/>
        </w:tabs>
        <w:spacing w:after="12" w:line="388" w:lineRule="auto"/>
        <w:ind w:firstLine="0" w:left="3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5.6 Иностранные граждане постоянно обязаны носить с собой миграционную карту и копию отрывной части уведомления о прибытии для подтверждения законности их пребывания на территории Российской Федерации.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left" w:leader="none" w:pos="567"/>
        </w:tabs>
        <w:spacing w:after="12" w:line="388" w:lineRule="auto"/>
        <w:ind w:firstLine="0" w:left="3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5.7 Иностранные студенты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, у которых в период обучения в Колледже истекает срок действия национальных документов (паспортов или иных документов, заменяющих их), обязаны своевременно заменить их и предоставить их копии ответственному лицу за миграционный учёт, в колледж.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left" w:leader="none" w:pos="567"/>
        </w:tabs>
        <w:spacing w:after="12" w:line="388" w:lineRule="auto"/>
        <w:ind w:firstLine="0" w:left="3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5.8 Иностранные граждане, отчисленные из числа студентов Колледжа, в том числе в связи с завершением обучения, обязаны выехать из Российской Федерации в течение 3 дней с даты отчисления. 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left" w:leader="none" w:pos="567"/>
        </w:tabs>
        <w:spacing w:after="12" w:line="388" w:lineRule="auto"/>
        <w:ind w:firstLine="0" w:left="360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  5.9 Срок временного пребывания в Российской Федерации иностранного гражданина, завершившего обучение по основной профессиональной образовательной программе, имеющей государственную аккредитацию, может быть п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родлен на срок до тридцати календарных дней с даты отчисления данного иностранного гражданина из Колледжа в целях поступления данного иностранного гражданина для обучения в той же или иной образовательной организации по основной профессиональной образовате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льной программе другого уровня, имеющей государственную аккредитацию. В этом случае продление пребывания иностранного гражданина в Российской Федерации осуществляется по ходатайству образовательной организации, представляемому в территориальный орган ФМС.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165" w:line="259" w:lineRule="auto"/>
        <w:ind w:left="566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keepNext w:val="true"/>
        <w:keepLines w:val="true"/>
        <w:pBdr/>
        <w:spacing w:after="154" w:line="259" w:lineRule="auto"/>
        <w:ind w:right="567" w:hanging="360" w:left="922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  <w:t xml:space="preserve">Заключительные положения </w:t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lang w:eastAsia="ru-RU"/>
        </w:rPr>
      </w:r>
    </w:p>
    <w:p>
      <w:pPr>
        <w:pBdr/>
        <w:spacing w:after="12" w:line="388" w:lineRule="auto"/>
        <w:ind w:firstLine="556" w:left="-15"/>
        <w:jc w:val="both"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  <w:t xml:space="preserve">6.1. Директор Колледжа несет ответственность за деятельность по приему, пребыванию и   обучению иностранных граждан в Колледже, соблюдение норм действующего законодательства в этой сфере, а также настоящего Положения.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spacing w:after="0" w:line="259" w:lineRule="auto"/>
        <w:ind/>
        <w:rPr>
          <w:rFonts w:ascii="Times New Roman" w:hAnsi="Times New Roman" w:eastAsia="Times New Roman" w:cs="Times New Roman"/>
          <w:color w:val="000000"/>
          <w:sz w:val="24"/>
          <w:lang w:eastAsia="ru-RU"/>
        </w:rPr>
      </w:pPr>
      <w:r>
        <w:rPr>
          <w:color w:val="000000"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lang w:eastAsia="ru-RU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851" w:right="850" w:bottom="568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rPr/>
    </w:pPr>
    <w:r/>
    <w:r/>
  </w:p>
  <w:p>
    <w:pPr>
      <w:pBdr/>
      <w:spacing/>
      <w:ind/>
      <w:rPr/>
    </w:pPr>
    <w:r/>
    <w:r/>
  </w:p>
  <w:p>
    <w:pPr>
      <w:pBdr/>
      <w:spacing/>
      <w:ind/>
      <w:rPr/>
    </w:pPr>
    <w:r/>
    <w:r/>
  </w:p>
  <w:p>
    <w:pPr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3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>
        <w:bottom w:val="single" w:color="622423" w:sz="24" w:space="1"/>
      </w:pBdr>
      <w:spacing w:after="0" w:line="240" w:lineRule="auto"/>
      <w:ind/>
      <w:rPr>
        <w:rFonts w:ascii="Cambria" w:hAnsi="Cambria" w:eastAsia="Times New Roman" w:cs="Times New Roman"/>
        <w:sz w:val="18"/>
        <w:szCs w:val="18"/>
      </w:rPr>
    </w:pPr>
    <w:r>
      <w:rPr>
        <w:rFonts w:ascii="Cambria" w:hAnsi="Cambria" w:eastAsia="Times New Roman" w:cs="Times New Roman"/>
        <w:sz w:val="18"/>
        <w:szCs w:val="18"/>
      </w:rPr>
      <w:t xml:space="preserve">СПб</w:t>
    </w:r>
    <w:r>
      <w:rPr>
        <w:rFonts w:ascii="Cambria" w:hAnsi="Cambria" w:eastAsia="Times New Roman" w:cs="Times New Roman"/>
        <w:sz w:val="18"/>
        <w:szCs w:val="18"/>
      </w:rPr>
      <w:t xml:space="preserve"> </w:t>
    </w:r>
    <w:r>
      <w:rPr>
        <w:rFonts w:ascii="Cambria" w:hAnsi="Cambria" w:eastAsia="Times New Roman" w:cs="Times New Roman"/>
        <w:sz w:val="18"/>
        <w:szCs w:val="18"/>
      </w:rPr>
      <w:t xml:space="preserve">ГБПОУ «МК№</w:t>
    </w:r>
    <w:r>
      <w:rPr>
        <w:rFonts w:ascii="Cambria" w:hAnsi="Cambria" w:eastAsia="Times New Roman" w:cs="Times New Roman"/>
        <w:sz w:val="18"/>
        <w:szCs w:val="18"/>
      </w:rPr>
      <w:t xml:space="preserve">1» Положение</w:t>
    </w:r>
    <w:r>
      <w:rPr>
        <w:rFonts w:ascii="Cambria" w:hAnsi="Cambria" w:eastAsia="Times New Roman" w:cs="Times New Roman"/>
        <w:sz w:val="18"/>
        <w:szCs w:val="18"/>
      </w:rPr>
      <w:t xml:space="preserve"> о</w:t>
    </w:r>
    <w:r>
      <w:rPr>
        <w:rFonts w:ascii="Cambria" w:hAnsi="Cambria" w:eastAsia="Times New Roman" w:cs="Times New Roman"/>
        <w:sz w:val="18"/>
        <w:szCs w:val="18"/>
      </w:rPr>
      <w:t xml:space="preserve"> </w:t>
    </w:r>
    <w:r>
      <w:rPr>
        <w:rFonts w:ascii="Cambria" w:hAnsi="Cambria" w:eastAsia="Times New Roman" w:cs="Times New Roman"/>
        <w:sz w:val="18"/>
        <w:szCs w:val="18"/>
      </w:rPr>
      <w:t xml:space="preserve">сопровождении иностранных обучающихся</w:t>
    </w: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7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5"/>
      <w:suff w:val="tab"/>
    </w:lvl>
    <w:lvl w:ilvl="2">
      <w:isLgl w:val="false"/>
      <w:lvlJc w:val="left"/>
      <w:lvlText w:val="%3"/>
      <w:numFmt w:val="lowerRoman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-"/>
      <w:numFmt w:val="bullet"/>
      <w:pPr>
        <w:pBdr/>
        <w:spacing/>
        <w:ind w:left="5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6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7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4"/>
      <w:suff w:val="tab"/>
    </w:lvl>
    <w:lvl w:ilvl="2">
      <w:isLgl w:val="false"/>
      <w:lvlJc w:val="left"/>
      <w:lvlText w:val="%3"/>
      <w:numFmt w:val="lowerRoman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left="5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6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-"/>
      <w:numFmt w:val="bullet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2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19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26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3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0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48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5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2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4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7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9"/>
      <w:suff w:val="tab"/>
    </w:lvl>
    <w:lvl w:ilvl="2">
      <w:isLgl w:val="false"/>
      <w:lvlJc w:val="left"/>
      <w:lvlText w:val="%3"/>
      <w:numFmt w:val="lowerRoman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7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7"/>
      <w:suff w:val="tab"/>
    </w:lvl>
    <w:lvl w:ilvl="2">
      <w:isLgl w:val="false"/>
      <w:lvlJc w:val="left"/>
      <w:lvlText w:val="%3"/>
      <w:numFmt w:val="lowerRoman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0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6"/>
      <w:suff w:val="tab"/>
    </w:lvl>
    <w:lvl w:ilvl="2">
      <w:isLgl w:val="false"/>
      <w:lvlJc w:val="left"/>
      <w:lvlText w:val="%3"/>
      <w:numFmt w:val="lowerRoman"/>
      <w:pPr>
        <w:pBdr/>
        <w:spacing/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1">
    <w:lvl w:ilvl="0">
      <w:isLgl w:val="false"/>
      <w:lvlJc w:val="left"/>
      <w:lvlText w:val="-"/>
      <w:numFmt w:val="bullet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7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4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1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9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6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3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60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7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2">
    <w:lvl w:ilvl="0">
      <w:isLgl w:val="false"/>
      <w:lvlJc w:val="left"/>
      <w:lvlText w:val=""/>
      <w:numFmt w:val="bullet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7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4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1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8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5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3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60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7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3">
    <w:lvl w:ilvl="0">
      <w:isLgl w:val="false"/>
      <w:lvlJc w:val="left"/>
      <w:lvlText w:val="-"/>
      <w:numFmt w:val="bullet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6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3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0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8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5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2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9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6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4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spacing/>
        <w:ind w:left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2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19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26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3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0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48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55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2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num w:numId="1">
    <w:abstractNumId w:val="18"/>
  </w:num>
  <w:num w:numId="2">
    <w:abstractNumId w:val="5"/>
  </w:num>
  <w:num w:numId="3">
    <w:abstractNumId w:val="7"/>
  </w:num>
  <w:num w:numId="4">
    <w:abstractNumId w:val="12"/>
  </w:num>
  <w:num w:numId="5">
    <w:abstractNumId w:val="15"/>
  </w:num>
  <w:num w:numId="6">
    <w:abstractNumId w:val="8"/>
  </w:num>
  <w:num w:numId="7">
    <w:abstractNumId w:val="2"/>
  </w:num>
  <w:num w:numId="8">
    <w:abstractNumId w:val="14"/>
  </w:num>
  <w:num w:numId="9">
    <w:abstractNumId w:val="6"/>
  </w:num>
  <w:num w:numId="10">
    <w:abstractNumId w:val="0"/>
  </w:num>
  <w:num w:numId="11">
    <w:abstractNumId w:val="4"/>
  </w:num>
  <w:num w:numId="12">
    <w:abstractNumId w:val="24"/>
  </w:num>
  <w:num w:numId="13">
    <w:abstractNumId w:val="16"/>
  </w:num>
  <w:num w:numId="14">
    <w:abstractNumId w:val="9"/>
  </w:num>
  <w:num w:numId="15">
    <w:abstractNumId w:val="25"/>
  </w:num>
  <w:num w:numId="16">
    <w:abstractNumId w:val="21"/>
  </w:num>
  <w:num w:numId="17">
    <w:abstractNumId w:val="20"/>
  </w:num>
  <w:num w:numId="18">
    <w:abstractNumId w:val="3"/>
  </w:num>
  <w:num w:numId="19">
    <w:abstractNumId w:val="11"/>
  </w:num>
  <w:num w:numId="20">
    <w:abstractNumId w:val="13"/>
  </w:num>
  <w:num w:numId="21">
    <w:abstractNumId w:val="10"/>
  </w:num>
  <w:num w:numId="22">
    <w:abstractNumId w:val="1"/>
  </w:num>
  <w:num w:numId="23">
    <w:abstractNumId w:val="19"/>
  </w:num>
  <w:num w:numId="24">
    <w:abstractNumId w:val="17"/>
  </w:num>
  <w:num w:numId="25">
    <w:abstractNumId w:val="23"/>
  </w:num>
  <w:num w:numId="26">
    <w:abstractNumId w:val="22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30">
    <w:name w:val="Table Grid Light"/>
    <w:basedOn w:val="100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Plain Table 1"/>
    <w:basedOn w:val="100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2"/>
    <w:basedOn w:val="100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1 Light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1 Light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1 Light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2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2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2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3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3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3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 - Accent 1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 - Accent 2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3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4 - Accent 4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4 - Accent 5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4 - Accent 6"/>
    <w:basedOn w:val="10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5 Dark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5 Dark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5 Dark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6 Colorful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6 Colorful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6 Colorful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7 Colorful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7 Colorful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7 Colorful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1 Light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1 Light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1 Light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2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2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2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3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3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3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4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4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4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5 Dark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5 Dark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5 Dark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6 Colorful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6 Colorful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6 Colorful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7 Colorful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7 Colorful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7 Colorful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 1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 2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3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ned - Accent 4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ned - Accent 5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ned - Accent 6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 1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 2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3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&amp; Lined - Accent 4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&amp; Lined - Accent 5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&amp; Lined - Accent 6"/>
    <w:basedOn w:val="10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- Accent 1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- Accent 2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3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Bordered - Accent 4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Bordered - Accent 5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Bordered - Accent 6"/>
    <w:basedOn w:val="10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5">
    <w:name w:val="Heading 1 Char"/>
    <w:basedOn w:val="1004"/>
    <w:link w:val="9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6">
    <w:name w:val="Heading 2 Char"/>
    <w:basedOn w:val="1004"/>
    <w:link w:val="9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7">
    <w:name w:val="Heading 3 Char"/>
    <w:basedOn w:val="1004"/>
    <w:link w:val="9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58">
    <w:name w:val="Heading 4 Char"/>
    <w:basedOn w:val="1004"/>
    <w:link w:val="99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59">
    <w:name w:val="Heading 5 Char"/>
    <w:basedOn w:val="1004"/>
    <w:link w:val="9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0">
    <w:name w:val="Heading 6 Char"/>
    <w:basedOn w:val="1004"/>
    <w:link w:val="100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1">
    <w:name w:val="Heading 7 Char"/>
    <w:basedOn w:val="1004"/>
    <w:link w:val="100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2">
    <w:name w:val="Heading 8 Char"/>
    <w:basedOn w:val="1004"/>
    <w:link w:val="10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3">
    <w:name w:val="Heading 9 Char"/>
    <w:basedOn w:val="1004"/>
    <w:link w:val="100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4">
    <w:name w:val="Title Char"/>
    <w:basedOn w:val="1004"/>
    <w:link w:val="10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65">
    <w:name w:val="Subtitle Char"/>
    <w:basedOn w:val="1004"/>
    <w:link w:val="10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6">
    <w:name w:val="Quote"/>
    <w:basedOn w:val="994"/>
    <w:next w:val="994"/>
    <w:link w:val="102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67">
    <w:name w:val="Intense Emphasis"/>
    <w:basedOn w:val="100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68">
    <w:name w:val="Intense Quote"/>
    <w:basedOn w:val="994"/>
    <w:next w:val="994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9">
    <w:name w:val="Intense Reference"/>
    <w:basedOn w:val="100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0">
    <w:name w:val="No Spacing"/>
    <w:basedOn w:val="994"/>
    <w:uiPriority w:val="1"/>
    <w:qFormat/>
    <w:pPr>
      <w:pBdr/>
      <w:spacing w:after="0" w:line="240" w:lineRule="auto"/>
      <w:ind/>
    </w:pPr>
  </w:style>
  <w:style w:type="character" w:styleId="971">
    <w:name w:val="Subtle Emphasis"/>
    <w:basedOn w:val="100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2">
    <w:name w:val="Subtle Reference"/>
    <w:basedOn w:val="100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3">
    <w:name w:val="Book Title"/>
    <w:basedOn w:val="100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74">
    <w:name w:val="Header Char"/>
    <w:basedOn w:val="1004"/>
    <w:link w:val="1041"/>
    <w:uiPriority w:val="99"/>
    <w:pPr>
      <w:pBdr/>
      <w:spacing/>
      <w:ind/>
    </w:pPr>
  </w:style>
  <w:style w:type="character" w:styleId="975">
    <w:name w:val="Footer Char"/>
    <w:basedOn w:val="1004"/>
    <w:link w:val="1043"/>
    <w:uiPriority w:val="99"/>
    <w:pPr>
      <w:pBdr/>
      <w:spacing/>
      <w:ind/>
    </w:pPr>
  </w:style>
  <w:style w:type="paragraph" w:styleId="976">
    <w:name w:val="footnote text"/>
    <w:basedOn w:val="994"/>
    <w:link w:val="9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7">
    <w:name w:val="Footnote Text Char"/>
    <w:basedOn w:val="1004"/>
    <w:link w:val="976"/>
    <w:uiPriority w:val="99"/>
    <w:semiHidden/>
    <w:pPr>
      <w:pBdr/>
      <w:spacing/>
      <w:ind/>
    </w:pPr>
    <w:rPr>
      <w:sz w:val="20"/>
      <w:szCs w:val="20"/>
    </w:rPr>
  </w:style>
  <w:style w:type="character" w:styleId="978">
    <w:name w:val="footnote reference"/>
    <w:basedOn w:val="1004"/>
    <w:uiPriority w:val="99"/>
    <w:semiHidden/>
    <w:unhideWhenUsed/>
    <w:pPr>
      <w:pBdr/>
      <w:spacing/>
      <w:ind/>
    </w:pPr>
    <w:rPr>
      <w:vertAlign w:val="superscript"/>
    </w:rPr>
  </w:style>
  <w:style w:type="paragraph" w:styleId="979">
    <w:name w:val="endnote text"/>
    <w:basedOn w:val="994"/>
    <w:link w:val="9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0">
    <w:name w:val="Endnote Text Char"/>
    <w:basedOn w:val="1004"/>
    <w:link w:val="979"/>
    <w:uiPriority w:val="99"/>
    <w:semiHidden/>
    <w:pPr>
      <w:pBdr/>
      <w:spacing/>
      <w:ind/>
    </w:pPr>
    <w:rPr>
      <w:sz w:val="20"/>
      <w:szCs w:val="20"/>
    </w:rPr>
  </w:style>
  <w:style w:type="character" w:styleId="981">
    <w:name w:val="endnote reference"/>
    <w:basedOn w:val="1004"/>
    <w:uiPriority w:val="99"/>
    <w:semiHidden/>
    <w:unhideWhenUsed/>
    <w:pPr>
      <w:pBdr/>
      <w:spacing/>
      <w:ind/>
    </w:pPr>
    <w:rPr>
      <w:vertAlign w:val="superscript"/>
    </w:rPr>
  </w:style>
  <w:style w:type="character" w:styleId="982">
    <w:name w:val="FollowedHyperlink"/>
    <w:basedOn w:val="100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83">
    <w:name w:val="toc 1"/>
    <w:basedOn w:val="994"/>
    <w:next w:val="994"/>
    <w:uiPriority w:val="39"/>
    <w:unhideWhenUsed/>
    <w:pPr>
      <w:pBdr/>
      <w:spacing w:after="100"/>
      <w:ind/>
    </w:pPr>
  </w:style>
  <w:style w:type="paragraph" w:styleId="984">
    <w:name w:val="toc 2"/>
    <w:basedOn w:val="994"/>
    <w:next w:val="994"/>
    <w:uiPriority w:val="39"/>
    <w:unhideWhenUsed/>
    <w:pPr>
      <w:pBdr/>
      <w:spacing w:after="100"/>
      <w:ind w:left="220"/>
    </w:pPr>
  </w:style>
  <w:style w:type="paragraph" w:styleId="985">
    <w:name w:val="toc 3"/>
    <w:basedOn w:val="994"/>
    <w:next w:val="994"/>
    <w:uiPriority w:val="39"/>
    <w:unhideWhenUsed/>
    <w:pPr>
      <w:pBdr/>
      <w:spacing w:after="100"/>
      <w:ind w:left="440"/>
    </w:pPr>
  </w:style>
  <w:style w:type="paragraph" w:styleId="986">
    <w:name w:val="toc 4"/>
    <w:basedOn w:val="994"/>
    <w:next w:val="994"/>
    <w:uiPriority w:val="39"/>
    <w:unhideWhenUsed/>
    <w:pPr>
      <w:pBdr/>
      <w:spacing w:after="100"/>
      <w:ind w:left="660"/>
    </w:pPr>
  </w:style>
  <w:style w:type="paragraph" w:styleId="987">
    <w:name w:val="toc 5"/>
    <w:basedOn w:val="994"/>
    <w:next w:val="994"/>
    <w:uiPriority w:val="39"/>
    <w:unhideWhenUsed/>
    <w:pPr>
      <w:pBdr/>
      <w:spacing w:after="100"/>
      <w:ind w:left="880"/>
    </w:pPr>
  </w:style>
  <w:style w:type="paragraph" w:styleId="988">
    <w:name w:val="toc 6"/>
    <w:basedOn w:val="994"/>
    <w:next w:val="994"/>
    <w:uiPriority w:val="39"/>
    <w:unhideWhenUsed/>
    <w:pPr>
      <w:pBdr/>
      <w:spacing w:after="100"/>
      <w:ind w:left="1100"/>
    </w:pPr>
  </w:style>
  <w:style w:type="paragraph" w:styleId="989">
    <w:name w:val="toc 7"/>
    <w:basedOn w:val="994"/>
    <w:next w:val="994"/>
    <w:uiPriority w:val="39"/>
    <w:unhideWhenUsed/>
    <w:pPr>
      <w:pBdr/>
      <w:spacing w:after="100"/>
      <w:ind w:left="1320"/>
    </w:pPr>
  </w:style>
  <w:style w:type="paragraph" w:styleId="990">
    <w:name w:val="toc 8"/>
    <w:basedOn w:val="994"/>
    <w:next w:val="994"/>
    <w:uiPriority w:val="39"/>
    <w:unhideWhenUsed/>
    <w:pPr>
      <w:pBdr/>
      <w:spacing w:after="100"/>
      <w:ind w:left="1540"/>
    </w:pPr>
  </w:style>
  <w:style w:type="paragraph" w:styleId="991">
    <w:name w:val="toc 9"/>
    <w:basedOn w:val="994"/>
    <w:next w:val="994"/>
    <w:uiPriority w:val="39"/>
    <w:unhideWhenUsed/>
    <w:pPr>
      <w:pBdr/>
      <w:spacing w:after="100"/>
      <w:ind w:left="1760"/>
    </w:pPr>
  </w:style>
  <w:style w:type="paragraph" w:styleId="992">
    <w:name w:val="TOC Heading"/>
    <w:uiPriority w:val="39"/>
    <w:unhideWhenUsed/>
    <w:pPr>
      <w:pBdr/>
      <w:spacing/>
      <w:ind/>
    </w:pPr>
  </w:style>
  <w:style w:type="paragraph" w:styleId="993">
    <w:name w:val="table of figures"/>
    <w:basedOn w:val="994"/>
    <w:next w:val="994"/>
    <w:uiPriority w:val="99"/>
    <w:unhideWhenUsed/>
    <w:pPr>
      <w:pBdr/>
      <w:spacing w:after="0" w:afterAutospacing="0"/>
      <w:ind/>
    </w:pPr>
  </w:style>
  <w:style w:type="paragraph" w:styleId="994" w:default="1">
    <w:name w:val="Normal"/>
    <w:qFormat/>
    <w:pPr>
      <w:pBdr/>
      <w:spacing w:after="200" w:line="276" w:lineRule="auto"/>
      <w:ind/>
    </w:pPr>
    <w:rPr>
      <w:rFonts w:cs="Calibri"/>
      <w:sz w:val="22"/>
      <w:szCs w:val="22"/>
      <w:lang w:eastAsia="en-US"/>
    </w:rPr>
  </w:style>
  <w:style w:type="paragraph" w:styleId="995">
    <w:name w:val="Heading 1"/>
    <w:basedOn w:val="994"/>
    <w:next w:val="994"/>
    <w:link w:val="1007"/>
    <w:uiPriority w:val="9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Times New Roman" w:cs="Cambria"/>
      <w:b/>
      <w:bCs/>
      <w:color w:val="d57b02"/>
      <w:sz w:val="28"/>
      <w:szCs w:val="28"/>
    </w:rPr>
  </w:style>
  <w:style w:type="paragraph" w:styleId="996">
    <w:name w:val="Heading 2"/>
    <w:basedOn w:val="994"/>
    <w:next w:val="994"/>
    <w:link w:val="1008"/>
    <w:uiPriority w:val="99"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Cambria"/>
      <w:b/>
      <w:bCs/>
      <w:color w:val="fda023"/>
      <w:sz w:val="26"/>
      <w:szCs w:val="26"/>
    </w:rPr>
  </w:style>
  <w:style w:type="paragraph" w:styleId="997">
    <w:name w:val="Heading 3"/>
    <w:basedOn w:val="994"/>
    <w:next w:val="994"/>
    <w:link w:val="1009"/>
    <w:uiPriority w:val="99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 w:eastAsia="Times New Roman" w:cs="Cambria"/>
      <w:b/>
      <w:bCs/>
      <w:color w:val="fda023"/>
    </w:rPr>
  </w:style>
  <w:style w:type="paragraph" w:styleId="998">
    <w:name w:val="Heading 4"/>
    <w:basedOn w:val="994"/>
    <w:next w:val="994"/>
    <w:link w:val="1010"/>
    <w:uiPriority w:val="99"/>
    <w:qFormat/>
    <w:pPr>
      <w:keepNext w:val="true"/>
      <w:keepLines w:val="true"/>
      <w:pBdr/>
      <w:spacing w:after="0" w:before="200"/>
      <w:ind/>
      <w:outlineLvl w:val="3"/>
    </w:pPr>
    <w:rPr>
      <w:rFonts w:ascii="Cambria" w:hAnsi="Cambria" w:eastAsia="Times New Roman" w:cs="Cambria"/>
      <w:b/>
      <w:bCs/>
      <w:i/>
      <w:iCs/>
      <w:color w:val="fda023"/>
    </w:rPr>
  </w:style>
  <w:style w:type="paragraph" w:styleId="999">
    <w:name w:val="Heading 5"/>
    <w:basedOn w:val="994"/>
    <w:next w:val="994"/>
    <w:link w:val="1011"/>
    <w:uiPriority w:val="99"/>
    <w:qFormat/>
    <w:pPr>
      <w:keepNext w:val="true"/>
      <w:keepLines w:val="true"/>
      <w:pBdr/>
      <w:spacing w:after="0" w:before="200"/>
      <w:ind/>
      <w:outlineLvl w:val="4"/>
    </w:pPr>
    <w:rPr>
      <w:rFonts w:ascii="Cambria" w:hAnsi="Cambria" w:eastAsia="Times New Roman" w:cs="Cambria"/>
      <w:color w:val="8e5101"/>
    </w:rPr>
  </w:style>
  <w:style w:type="paragraph" w:styleId="1000">
    <w:name w:val="Heading 6"/>
    <w:basedOn w:val="994"/>
    <w:next w:val="994"/>
    <w:link w:val="1012"/>
    <w:uiPriority w:val="9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 w:eastAsia="Times New Roman" w:cs="Cambria"/>
      <w:i/>
      <w:iCs/>
      <w:color w:val="8e5101"/>
    </w:rPr>
  </w:style>
  <w:style w:type="paragraph" w:styleId="1001">
    <w:name w:val="Heading 7"/>
    <w:basedOn w:val="994"/>
    <w:next w:val="994"/>
    <w:link w:val="1013"/>
    <w:uiPriority w:val="9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1002">
    <w:name w:val="Heading 8"/>
    <w:basedOn w:val="994"/>
    <w:next w:val="994"/>
    <w:link w:val="1014"/>
    <w:uiPriority w:val="9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 w:eastAsia="Times New Roman" w:cs="Cambria"/>
      <w:color w:val="fda023"/>
      <w:sz w:val="20"/>
      <w:szCs w:val="20"/>
    </w:rPr>
  </w:style>
  <w:style w:type="paragraph" w:styleId="1003">
    <w:name w:val="Heading 9"/>
    <w:basedOn w:val="994"/>
    <w:next w:val="994"/>
    <w:link w:val="1015"/>
    <w:uiPriority w:val="99"/>
    <w:qFormat/>
    <w:pPr>
      <w:keepNext w:val="true"/>
      <w:keepLines w:val="true"/>
      <w:pBdr/>
      <w:spacing w:after="0" w:before="200"/>
      <w:ind/>
      <w:outlineLvl w:val="8"/>
    </w:pPr>
    <w:rPr>
      <w:rFonts w:ascii="Cambria" w:hAnsi="Cambria" w:eastAsia="Times New Roman" w:cs="Cambria"/>
      <w:i/>
      <w:iCs/>
      <w:color w:val="404040"/>
      <w:sz w:val="20"/>
      <w:szCs w:val="20"/>
    </w:rPr>
  </w:style>
  <w:style w:type="character" w:styleId="1004" w:default="1">
    <w:name w:val="Default Paragraph Font"/>
    <w:uiPriority w:val="1"/>
    <w:semiHidden/>
    <w:unhideWhenUsed/>
    <w:pPr>
      <w:pBdr/>
      <w:spacing/>
      <w:ind/>
    </w:pPr>
  </w:style>
  <w:style w:type="table" w:styleId="100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6" w:default="1">
    <w:name w:val="No List"/>
    <w:uiPriority w:val="99"/>
    <w:semiHidden/>
    <w:unhideWhenUsed/>
    <w:pPr>
      <w:pBdr/>
      <w:spacing/>
      <w:ind/>
    </w:pPr>
  </w:style>
  <w:style w:type="character" w:styleId="1007" w:customStyle="1">
    <w:name w:val="Заголовок 1 Знак"/>
    <w:link w:val="995"/>
    <w:uiPriority w:val="99"/>
    <w:pPr>
      <w:pBdr/>
      <w:spacing/>
      <w:ind/>
    </w:pPr>
    <w:rPr>
      <w:rFonts w:ascii="Cambria" w:hAnsi="Cambria" w:cs="Cambria"/>
      <w:b/>
      <w:bCs/>
      <w:color w:val="d57b02"/>
      <w:sz w:val="28"/>
      <w:szCs w:val="28"/>
    </w:rPr>
  </w:style>
  <w:style w:type="character" w:styleId="1008" w:customStyle="1">
    <w:name w:val="Заголовок 2 Знак"/>
    <w:link w:val="996"/>
    <w:uiPriority w:val="99"/>
    <w:pPr>
      <w:pBdr/>
      <w:spacing/>
      <w:ind/>
    </w:pPr>
    <w:rPr>
      <w:rFonts w:ascii="Cambria" w:hAnsi="Cambria" w:cs="Cambria"/>
      <w:b/>
      <w:bCs/>
      <w:color w:val="fda023"/>
      <w:sz w:val="26"/>
      <w:szCs w:val="26"/>
    </w:rPr>
  </w:style>
  <w:style w:type="character" w:styleId="1009" w:customStyle="1">
    <w:name w:val="Заголовок 3 Знак"/>
    <w:link w:val="997"/>
    <w:uiPriority w:val="99"/>
    <w:semiHidden/>
    <w:pPr>
      <w:pBdr/>
      <w:spacing/>
      <w:ind/>
    </w:pPr>
    <w:rPr>
      <w:rFonts w:ascii="Cambria" w:hAnsi="Cambria" w:cs="Cambria"/>
      <w:b/>
      <w:bCs/>
      <w:color w:val="fda023"/>
    </w:rPr>
  </w:style>
  <w:style w:type="character" w:styleId="1010" w:customStyle="1">
    <w:name w:val="Заголовок 4 Знак"/>
    <w:link w:val="998"/>
    <w:uiPriority w:val="99"/>
    <w:semiHidden/>
    <w:pPr>
      <w:pBdr/>
      <w:spacing/>
      <w:ind/>
    </w:pPr>
    <w:rPr>
      <w:rFonts w:ascii="Cambria" w:hAnsi="Cambria" w:cs="Cambria"/>
      <w:b/>
      <w:bCs/>
      <w:i/>
      <w:iCs/>
      <w:color w:val="fda023"/>
    </w:rPr>
  </w:style>
  <w:style w:type="character" w:styleId="1011" w:customStyle="1">
    <w:name w:val="Заголовок 5 Знак"/>
    <w:link w:val="999"/>
    <w:uiPriority w:val="99"/>
    <w:semiHidden/>
    <w:pPr>
      <w:pBdr/>
      <w:spacing/>
      <w:ind/>
    </w:pPr>
    <w:rPr>
      <w:rFonts w:ascii="Cambria" w:hAnsi="Cambria" w:cs="Cambria"/>
      <w:color w:val="8e5101"/>
    </w:rPr>
  </w:style>
  <w:style w:type="character" w:styleId="1012" w:customStyle="1">
    <w:name w:val="Заголовок 6 Знак"/>
    <w:link w:val="1000"/>
    <w:uiPriority w:val="99"/>
    <w:semiHidden/>
    <w:pPr>
      <w:pBdr/>
      <w:spacing/>
      <w:ind/>
    </w:pPr>
    <w:rPr>
      <w:rFonts w:ascii="Cambria" w:hAnsi="Cambria" w:cs="Cambria"/>
      <w:i/>
      <w:iCs/>
      <w:color w:val="8e5101"/>
    </w:rPr>
  </w:style>
  <w:style w:type="character" w:styleId="1013" w:customStyle="1">
    <w:name w:val="Заголовок 7 Знак"/>
    <w:link w:val="1001"/>
    <w:uiPriority w:val="99"/>
    <w:semiHidden/>
    <w:pPr>
      <w:pBdr/>
      <w:spacing/>
      <w:ind/>
    </w:pPr>
    <w:rPr>
      <w:rFonts w:ascii="Cambria" w:hAnsi="Cambria" w:cs="Cambria"/>
      <w:i/>
      <w:iCs/>
      <w:color w:val="404040"/>
    </w:rPr>
  </w:style>
  <w:style w:type="character" w:styleId="1014" w:customStyle="1">
    <w:name w:val="Заголовок 8 Знак"/>
    <w:link w:val="1002"/>
    <w:uiPriority w:val="99"/>
    <w:semiHidden/>
    <w:pPr>
      <w:pBdr/>
      <w:spacing/>
      <w:ind/>
    </w:pPr>
    <w:rPr>
      <w:rFonts w:ascii="Cambria" w:hAnsi="Cambria" w:cs="Cambria"/>
      <w:color w:val="fda023"/>
      <w:sz w:val="20"/>
      <w:szCs w:val="20"/>
    </w:rPr>
  </w:style>
  <w:style w:type="character" w:styleId="1015" w:customStyle="1">
    <w:name w:val="Заголовок 9 Знак"/>
    <w:link w:val="1003"/>
    <w:uiPriority w:val="99"/>
    <w:semiHidden/>
    <w:pPr>
      <w:pBdr/>
      <w:spacing/>
      <w:ind/>
    </w:pPr>
    <w:rPr>
      <w:rFonts w:ascii="Cambria" w:hAnsi="Cambria" w:cs="Cambria"/>
      <w:i/>
      <w:iCs/>
      <w:color w:val="404040"/>
      <w:sz w:val="20"/>
      <w:szCs w:val="20"/>
    </w:rPr>
  </w:style>
  <w:style w:type="paragraph" w:styleId="1016">
    <w:name w:val="Caption"/>
    <w:basedOn w:val="994"/>
    <w:next w:val="994"/>
    <w:uiPriority w:val="99"/>
    <w:qFormat/>
    <w:pPr>
      <w:pBdr/>
      <w:spacing w:line="240" w:lineRule="auto"/>
      <w:ind/>
    </w:pPr>
    <w:rPr>
      <w:b/>
      <w:bCs/>
      <w:color w:val="fda023"/>
      <w:sz w:val="18"/>
      <w:szCs w:val="18"/>
    </w:rPr>
  </w:style>
  <w:style w:type="paragraph" w:styleId="1017">
    <w:name w:val="Title"/>
    <w:basedOn w:val="994"/>
    <w:next w:val="994"/>
    <w:link w:val="1018"/>
    <w:uiPriority w:val="99"/>
    <w:qFormat/>
    <w:pPr>
      <w:pBdr>
        <w:bottom w:val="single" w:color="fda023" w:sz="8" w:space="4"/>
      </w:pBdr>
      <w:spacing w:after="300" w:line="240" w:lineRule="auto"/>
      <w:ind/>
    </w:pPr>
    <w:rPr>
      <w:rFonts w:ascii="Cambria" w:hAnsi="Cambria" w:eastAsia="Times New Roman" w:cs="Cambria"/>
      <w:color w:val="344674"/>
      <w:spacing w:val="5"/>
      <w:sz w:val="52"/>
      <w:szCs w:val="52"/>
    </w:rPr>
  </w:style>
  <w:style w:type="character" w:styleId="1018" w:customStyle="1">
    <w:name w:val="Заголовок Знак"/>
    <w:link w:val="1017"/>
    <w:uiPriority w:val="99"/>
    <w:pPr>
      <w:pBdr/>
      <w:spacing/>
      <w:ind/>
    </w:pPr>
    <w:rPr>
      <w:rFonts w:ascii="Cambria" w:hAnsi="Cambria" w:cs="Cambria"/>
      <w:color w:val="344674"/>
      <w:spacing w:val="5"/>
      <w:sz w:val="52"/>
      <w:szCs w:val="52"/>
    </w:rPr>
  </w:style>
  <w:style w:type="paragraph" w:styleId="1019">
    <w:name w:val="Subtitle"/>
    <w:basedOn w:val="994"/>
    <w:next w:val="994"/>
    <w:link w:val="1020"/>
    <w:uiPriority w:val="99"/>
    <w:qFormat/>
    <w:pPr>
      <w:numPr>
        <w:ilvl w:val="1"/>
      </w:numPr>
      <w:pBdr/>
      <w:spacing/>
      <w:ind/>
    </w:pPr>
    <w:rPr>
      <w:rFonts w:ascii="Cambria" w:hAnsi="Cambria" w:eastAsia="Times New Roman" w:cs="Cambria"/>
      <w:i/>
      <w:iCs/>
      <w:color w:val="fda023"/>
      <w:spacing w:val="15"/>
      <w:sz w:val="24"/>
      <w:szCs w:val="24"/>
    </w:rPr>
  </w:style>
  <w:style w:type="character" w:styleId="1020" w:customStyle="1">
    <w:name w:val="Подзаголовок Знак"/>
    <w:link w:val="1019"/>
    <w:uiPriority w:val="99"/>
    <w:pPr>
      <w:pBdr/>
      <w:spacing/>
      <w:ind/>
    </w:pPr>
    <w:rPr>
      <w:rFonts w:ascii="Cambria" w:hAnsi="Cambria" w:cs="Cambria"/>
      <w:i/>
      <w:iCs/>
      <w:color w:val="fda023"/>
      <w:spacing w:val="15"/>
      <w:sz w:val="24"/>
      <w:szCs w:val="24"/>
    </w:rPr>
  </w:style>
  <w:style w:type="character" w:styleId="1021">
    <w:name w:val="Strong"/>
    <w:uiPriority w:val="99"/>
    <w:qFormat/>
    <w:pPr>
      <w:pBdr/>
      <w:spacing/>
      <w:ind/>
    </w:pPr>
    <w:rPr>
      <w:b/>
      <w:bCs/>
    </w:rPr>
  </w:style>
  <w:style w:type="character" w:styleId="1022">
    <w:name w:val="Emphasis"/>
    <w:uiPriority w:val="99"/>
    <w:qFormat/>
    <w:pPr>
      <w:pBdr/>
      <w:spacing/>
      <w:ind/>
    </w:pPr>
    <w:rPr>
      <w:i/>
      <w:iCs/>
    </w:rPr>
  </w:style>
  <w:style w:type="paragraph" w:styleId="1023" w:customStyle="1">
    <w:name w:val="Без интервала1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paragraph" w:styleId="1024" w:customStyle="1">
    <w:name w:val="Абзац списка1"/>
    <w:basedOn w:val="994"/>
    <w:uiPriority w:val="99"/>
    <w:qFormat/>
    <w:pPr>
      <w:pBdr/>
      <w:spacing/>
      <w:ind w:left="720"/>
    </w:pPr>
  </w:style>
  <w:style w:type="paragraph" w:styleId="1025" w:customStyle="1">
    <w:name w:val="Цитата 21"/>
    <w:basedOn w:val="994"/>
    <w:next w:val="994"/>
    <w:link w:val="1026"/>
    <w:uiPriority w:val="99"/>
    <w:qFormat/>
    <w:pPr>
      <w:pBdr/>
      <w:spacing/>
      <w:ind/>
    </w:pPr>
    <w:rPr>
      <w:i/>
      <w:iCs/>
      <w:color w:val="000000"/>
    </w:rPr>
  </w:style>
  <w:style w:type="character" w:styleId="1026" w:customStyle="1">
    <w:name w:val="Quote Char"/>
    <w:link w:val="1025"/>
    <w:uiPriority w:val="99"/>
    <w:pPr>
      <w:pBdr/>
      <w:spacing/>
      <w:ind/>
    </w:pPr>
    <w:rPr>
      <w:i/>
      <w:iCs/>
      <w:color w:val="000000"/>
    </w:rPr>
  </w:style>
  <w:style w:type="paragraph" w:styleId="1027" w:customStyle="1">
    <w:name w:val="Выделенная цитата1"/>
    <w:basedOn w:val="994"/>
    <w:next w:val="994"/>
    <w:link w:val="1028"/>
    <w:uiPriority w:val="99"/>
    <w:qFormat/>
    <w:pPr>
      <w:pBdr>
        <w:bottom w:val="single" w:color="fda023" w:sz="4" w:space="4"/>
      </w:pBdr>
      <w:spacing w:after="280" w:before="200"/>
      <w:ind w:right="936" w:left="936"/>
    </w:pPr>
    <w:rPr>
      <w:b/>
      <w:bCs/>
      <w:i/>
      <w:iCs/>
      <w:color w:val="fda023"/>
    </w:rPr>
  </w:style>
  <w:style w:type="character" w:styleId="1028" w:customStyle="1">
    <w:name w:val="Intense Quote Char"/>
    <w:link w:val="1027"/>
    <w:uiPriority w:val="99"/>
    <w:pPr>
      <w:pBdr/>
      <w:spacing/>
      <w:ind/>
    </w:pPr>
    <w:rPr>
      <w:b/>
      <w:bCs/>
      <w:i/>
      <w:iCs/>
      <w:color w:val="fda023"/>
    </w:rPr>
  </w:style>
  <w:style w:type="character" w:styleId="1029" w:customStyle="1">
    <w:name w:val="Слабое выделение1"/>
    <w:uiPriority w:val="99"/>
    <w:qFormat/>
    <w:pPr>
      <w:pBdr/>
      <w:spacing/>
      <w:ind/>
    </w:pPr>
    <w:rPr>
      <w:i/>
      <w:iCs/>
      <w:color w:val="808080"/>
    </w:rPr>
  </w:style>
  <w:style w:type="character" w:styleId="1030" w:customStyle="1">
    <w:name w:val="Сильное выделение1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1031" w:customStyle="1">
    <w:name w:val="Слабая ссылка1"/>
    <w:uiPriority w:val="99"/>
    <w:qFormat/>
    <w:pPr>
      <w:pBdr/>
      <w:spacing/>
      <w:ind/>
    </w:pPr>
    <w:rPr>
      <w:smallCaps/>
      <w:color w:val="auto"/>
      <w:u w:val="single"/>
    </w:rPr>
  </w:style>
  <w:style w:type="character" w:styleId="1032" w:customStyle="1">
    <w:name w:val="Сильная ссылка1"/>
    <w:uiPriority w:val="99"/>
    <w:qFormat/>
    <w:pPr>
      <w:pBdr/>
      <w:spacing/>
      <w:ind/>
    </w:pPr>
    <w:rPr>
      <w:b/>
      <w:bCs/>
      <w:smallCaps/>
      <w:color w:val="auto"/>
      <w:spacing w:val="5"/>
      <w:u w:val="single"/>
    </w:rPr>
  </w:style>
  <w:style w:type="character" w:styleId="1033" w:customStyle="1">
    <w:name w:val="Название книги1"/>
    <w:uiPriority w:val="99"/>
    <w:qFormat/>
    <w:pPr>
      <w:pBdr/>
      <w:spacing/>
      <w:ind/>
    </w:pPr>
    <w:rPr>
      <w:b/>
      <w:bCs/>
      <w:smallCaps/>
      <w:spacing w:val="5"/>
    </w:rPr>
  </w:style>
  <w:style w:type="paragraph" w:styleId="1034" w:customStyle="1">
    <w:name w:val="Заголовок оглавления1"/>
    <w:basedOn w:val="995"/>
    <w:next w:val="994"/>
    <w:uiPriority w:val="99"/>
    <w:qFormat/>
    <w:pPr>
      <w:pBdr/>
      <w:spacing/>
      <w:ind/>
      <w:outlineLvl w:val="9"/>
    </w:pPr>
  </w:style>
  <w:style w:type="paragraph" w:styleId="1035">
    <w:name w:val="Normal (Web)"/>
    <w:basedOn w:val="994"/>
    <w:uiPriority w:val="99"/>
    <w:semiHidden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6" w:customStyle="1">
    <w:name w:val="consplusnormal"/>
    <w:basedOn w:val="994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37" w:customStyle="1">
    <w:name w:val="default"/>
    <w:basedOn w:val="994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38">
    <w:name w:val="Hyperlink"/>
    <w:uiPriority w:val="99"/>
    <w:semiHidden/>
    <w:pPr>
      <w:pBdr/>
      <w:spacing/>
      <w:ind/>
    </w:pPr>
    <w:rPr>
      <w:color w:val="0000ff"/>
      <w:u w:val="single"/>
    </w:rPr>
  </w:style>
  <w:style w:type="character" w:styleId="1039" w:customStyle="1">
    <w:name w:val="apple-converted-space"/>
    <w:basedOn w:val="1004"/>
    <w:uiPriority w:val="99"/>
    <w:pPr>
      <w:pBdr/>
      <w:spacing/>
      <w:ind/>
    </w:pPr>
  </w:style>
  <w:style w:type="table" w:styleId="1040">
    <w:name w:val="Table Grid"/>
    <w:basedOn w:val="1005"/>
    <w:uiPriority w:val="99"/>
    <w:pPr>
      <w:pBdr/>
      <w:spacing/>
      <w:ind/>
    </w:pPr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41">
    <w:name w:val="Header"/>
    <w:basedOn w:val="994"/>
    <w:link w:val="104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42" w:customStyle="1">
    <w:name w:val="Верхний колонтитул Знак"/>
    <w:link w:val="1041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43">
    <w:name w:val="Footer"/>
    <w:basedOn w:val="994"/>
    <w:link w:val="1044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44" w:customStyle="1">
    <w:name w:val="Нижний колонтитул Знак"/>
    <w:link w:val="1043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1045">
    <w:name w:val="Balloon Text"/>
    <w:basedOn w:val="994"/>
    <w:link w:val="1046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46" w:customStyle="1">
    <w:name w:val="Текст выноски Знак"/>
    <w:link w:val="1045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1047" w:customStyle="1">
    <w:name w:val="Гипертекстовая ссылка"/>
    <w:basedOn w:val="1004"/>
    <w:uiPriority w:val="99"/>
    <w:pPr>
      <w:pBdr/>
      <w:spacing/>
      <w:ind/>
    </w:pPr>
    <w:rPr>
      <w:color w:val="106bbe"/>
    </w:rPr>
  </w:style>
  <w:style w:type="paragraph" w:styleId="1048">
    <w:name w:val="List Paragraph"/>
    <w:basedOn w:val="994"/>
    <w:uiPriority w:val="34"/>
    <w:qFormat/>
    <w:pPr>
      <w:pBdr/>
      <w:spacing/>
      <w:ind w:left="720"/>
      <w:contextualSpacing w:val="true"/>
    </w:pPr>
  </w:style>
  <w:style w:type="table" w:styleId="1049" w:customStyle="1">
    <w:name w:val="Table Grid"/>
    <w:pPr>
      <w:pBdr/>
      <w:spacing/>
      <w:ind/>
    </w:pPr>
    <w:rPr>
      <w:rFonts w:eastAsia="Times New Roman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126D8-7A06-4FAA-BC27-22347E32A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ЦБПО ОАО "Транссибнефть"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соотношении учебной и другой педагогической работы в пределах рабочего времени</dc:title>
  <dc:subject/>
  <dc:creator>Олеся</dc:creator>
  <cp:keywords/>
  <cp:revision>81</cp:revision>
  <dcterms:created xsi:type="dcterms:W3CDTF">2018-11-19T08:15:00Z</dcterms:created>
  <dcterms:modified xsi:type="dcterms:W3CDTF">2026-10-08T08:01:59Z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0x01010078D22CD74EF7DA4C8CB8C3D0F2D4A3B2</vt:lpwstr>
  </property>
</Properties>
</file>