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A643BA" w:rsidRDefault="00361B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proofErr w:type="gramStart"/>
            <w:r w:rsidR="00A643BA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075A00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47C59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proofErr w:type="gramEnd"/>
            <w:r w:rsidR="00D47C59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5A00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075A00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A643BA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A643BA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B1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643BA"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D03BBB"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00" w:rsidRPr="00A643BA" w:rsidRDefault="00075A00" w:rsidP="00D47C5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B1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1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proofErr w:type="gramEnd"/>
            <w:r w:rsidR="00D47C59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61B22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8B6DF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526A1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6CD">
        <w:rPr>
          <w:rFonts w:ascii="Times New Roman" w:hAnsi="Times New Roman" w:cs="Times New Roman"/>
          <w:b/>
          <w:sz w:val="28"/>
          <w:szCs w:val="28"/>
        </w:rPr>
        <w:t>совете по питанию</w:t>
      </w:r>
    </w:p>
    <w:p w:rsidR="00C526A1" w:rsidRPr="003B03CB" w:rsidRDefault="00D03BBB" w:rsidP="00690D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CB">
        <w:rPr>
          <w:rFonts w:ascii="Times New Roman" w:hAnsi="Times New Roman" w:cs="Times New Roman"/>
          <w:b/>
          <w:sz w:val="28"/>
          <w:szCs w:val="28"/>
        </w:rPr>
        <w:t>ПК-02.22</w:t>
      </w:r>
      <w:r w:rsidR="00690D2E" w:rsidRPr="003B03CB">
        <w:rPr>
          <w:rFonts w:ascii="Times New Roman" w:hAnsi="Times New Roman" w:cs="Times New Roman"/>
          <w:b/>
          <w:sz w:val="28"/>
          <w:szCs w:val="28"/>
        </w:rPr>
        <w:t>-20</w:t>
      </w:r>
      <w:r w:rsidR="007970C7" w:rsidRPr="003B03CB">
        <w:rPr>
          <w:rFonts w:ascii="Times New Roman" w:hAnsi="Times New Roman" w:cs="Times New Roman"/>
          <w:b/>
          <w:sz w:val="28"/>
          <w:szCs w:val="28"/>
        </w:rPr>
        <w:t>2</w:t>
      </w:r>
      <w:r w:rsidR="003B03CB" w:rsidRPr="003B03CB">
        <w:rPr>
          <w:rFonts w:ascii="Times New Roman" w:hAnsi="Times New Roman" w:cs="Times New Roman"/>
          <w:b/>
          <w:sz w:val="28"/>
          <w:szCs w:val="28"/>
        </w:rPr>
        <w:t>2</w:t>
      </w: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8B6DF1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Pr="008B6DF1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A4E05" w:rsidRDefault="00361B22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D03BBB" w:rsidRDefault="00D03BBB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Pr="008B6DF1" w:rsidRDefault="00D03BBB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CD" w:rsidRPr="006E4526" w:rsidRDefault="00E62E25" w:rsidP="006E4526">
      <w:pPr>
        <w:suppressAutoHyphens/>
        <w:spacing w:after="0" w:line="240" w:lineRule="auto"/>
        <w:ind w:left="1454" w:right="3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7E56CD"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7E56CD" w:rsidRPr="006E4526" w:rsidRDefault="007E56CD" w:rsidP="006E4526">
      <w:pPr>
        <w:numPr>
          <w:ilvl w:val="1"/>
          <w:numId w:val="18"/>
        </w:numPr>
        <w:suppressAutoHyphens/>
        <w:spacing w:after="0" w:line="240" w:lineRule="auto"/>
        <w:ind w:left="993" w:right="43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является общественным органом, осуществляющим рассмотрение вопросов, связанных с организацией питания обучающихся Санкт-Петербургского государственного бюджетного профессионального образовательного учреждения «Медицинский колледж №1» (далее - Колледж).</w:t>
      </w:r>
    </w:p>
    <w:p w:rsidR="007E56CD" w:rsidRPr="006E4526" w:rsidRDefault="00E04C86" w:rsidP="006E4526">
      <w:pPr>
        <w:numPr>
          <w:ilvl w:val="1"/>
          <w:numId w:val="18"/>
        </w:numPr>
        <w:tabs>
          <w:tab w:val="left" w:pos="851"/>
          <w:tab w:val="left" w:pos="993"/>
        </w:tabs>
        <w:suppressAutoHyphens/>
        <w:spacing w:after="0" w:line="240" w:lineRule="auto"/>
        <w:ind w:left="851" w:right="4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E56CD" w:rsidRPr="006E45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по питанию в своей деятельности руководствуется:</w:t>
      </w:r>
    </w:p>
    <w:p w:rsidR="00017929" w:rsidRPr="006E4526" w:rsidRDefault="00017929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З7 и ст.41 Федерального закона «Об образовании в Российской Федерации» </w:t>
      </w:r>
      <w:r w:rsidR="009151D7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2012 года № 273-ФЗ (с изменениями и дополнениями);</w:t>
      </w:r>
    </w:p>
    <w:p w:rsidR="00017929" w:rsidRPr="006E4526" w:rsidRDefault="00017929" w:rsidP="006E4526">
      <w:pPr>
        <w:pStyle w:val="af4"/>
        <w:numPr>
          <w:ilvl w:val="1"/>
          <w:numId w:val="26"/>
        </w:numPr>
        <w:tabs>
          <w:tab w:val="center" w:pos="2592"/>
          <w:tab w:val="right" w:pos="96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Санкт-Петербурга от 08.10.2008 № 569-95 «О социальном питании в Санкт-</w:t>
      </w:r>
      <w:r w:rsidR="006B3770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6A60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Петербурге» (с изменениями и дополнениями);</w:t>
      </w:r>
    </w:p>
    <w:p w:rsidR="009D4AB1" w:rsidRPr="006E4526" w:rsidRDefault="009D4AB1" w:rsidP="006E4526">
      <w:pPr>
        <w:pStyle w:val="af4"/>
        <w:numPr>
          <w:ilvl w:val="1"/>
          <w:numId w:val="26"/>
        </w:num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 18 ст. 81, 82 и 82 1 Закона Санкт-Петербурга от 22.11.2011 № 728-132 «Социальный кодекс Санкт-Петербурга» (с изменениями и дополнениями);</w:t>
      </w:r>
    </w:p>
    <w:p w:rsidR="009151D7" w:rsidRPr="006E4526" w:rsidRDefault="009151D7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Санкт-Петербурга» (с изменениями и дополнениями);</w:t>
      </w:r>
    </w:p>
    <w:p w:rsidR="007E56CD" w:rsidRPr="006E4526" w:rsidRDefault="00AD275A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Санкт-Петербурга от 23.07.2009 № 873 «О мерах по реализации Закона Санкт-Петербурга ”О социальном питании в Санкт-Петербурге“ и совершенствованию уровня организации социального питания в государственных бюджетных, казённых и автономных учреждениях Санкт-Петербурга, входящих в системы здравоохранения, образования, отдыха и оздоровления детей и молодежи, социального обслуживания населения, находящихся в ведении исполнительных органов государственной власти Санкт-Петербурга» (с изменениями и дополнениями);</w:t>
      </w:r>
      <w:r w:rsidR="007E56CD" w:rsidRPr="006E45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85880" w:rsidRPr="006E4526" w:rsidRDefault="005E4048" w:rsidP="006E4526">
      <w:pPr>
        <w:pStyle w:val="af4"/>
        <w:numPr>
          <w:ilvl w:val="1"/>
          <w:numId w:val="2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Российской Федерации от 27.10.2020г. №32 Об утверждении санитарно-эпидемиологических правил и норм СанПиН 2.3/2.4.3590-20</w:t>
      </w:r>
      <w:r w:rsidR="00D0509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«Санитарно-эпидемиологические тр</w:t>
      </w:r>
      <w:r w:rsidR="00E04C86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ебования к организации общественног</w:t>
      </w:r>
      <w:r w:rsidR="00315A48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питания населения»</w:t>
      </w:r>
    </w:p>
    <w:p w:rsidR="009D4AB1" w:rsidRPr="006E4526" w:rsidRDefault="009D4AB1" w:rsidP="006E4526">
      <w:pPr>
        <w:pStyle w:val="af4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Комитета по образованию от 30.12.2020г №2595-р «О социальном питании в Санкт-Петербурге» (с изменениями и дополнениями);</w:t>
      </w:r>
    </w:p>
    <w:p w:rsidR="007E56CD" w:rsidRPr="006E4526" w:rsidRDefault="007E56CD" w:rsidP="006E4526">
      <w:pPr>
        <w:pStyle w:val="af4"/>
        <w:numPr>
          <w:ilvl w:val="1"/>
          <w:numId w:val="26"/>
        </w:numPr>
        <w:spacing w:after="0" w:line="240" w:lineRule="auto"/>
        <w:ind w:right="16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Колледжа.</w:t>
      </w:r>
    </w:p>
    <w:p w:rsidR="00D03BBB" w:rsidRPr="006E4526" w:rsidRDefault="00E04C86" w:rsidP="006E4526">
      <w:pPr>
        <w:suppressAutoHyphens/>
        <w:spacing w:after="0" w:line="240" w:lineRule="auto"/>
        <w:ind w:left="709" w:right="33" w:hanging="1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является постоянно действующим к</w:t>
      </w:r>
      <w:r w:rsidR="00D03BBB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онсультативным органом Колледжа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осуществляет с</w:t>
      </w:r>
      <w:r w:rsidR="00D03BBB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 полномочия на общественных</w:t>
      </w:r>
    </w:p>
    <w:p w:rsidR="007E56CD" w:rsidRPr="006E4526" w:rsidRDefault="007E56CD" w:rsidP="006E4526">
      <w:pPr>
        <w:suppressAutoHyphens/>
        <w:spacing w:after="0" w:line="240" w:lineRule="auto"/>
        <w:ind w:left="851" w:right="33" w:hanging="1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началах. Решения Совета по питанию носят рекомендательный характер.</w:t>
      </w:r>
    </w:p>
    <w:p w:rsidR="00D03BBB" w:rsidRPr="006E4526" w:rsidRDefault="007E56CD" w:rsidP="006E4526">
      <w:pPr>
        <w:suppressAutoHyphens/>
        <w:spacing w:after="0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Совет по питанию взаимодействует с администрацией Колледжа и организацией общественного питания на основе принципов сотрудничества и автономии.</w:t>
      </w:r>
    </w:p>
    <w:p w:rsidR="007E56CD" w:rsidRPr="006E4526" w:rsidRDefault="00D03BBB" w:rsidP="006E4526">
      <w:pPr>
        <w:suppressAutoHyphens/>
        <w:spacing w:after="0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осуществляет свою деятельность на основании плана работы, утверждаемого на первом заседании Совета по питанию в текущем учебном году.</w:t>
      </w:r>
    </w:p>
    <w:p w:rsidR="007E56CD" w:rsidRPr="006E4526" w:rsidRDefault="00E62E25" w:rsidP="006E4526">
      <w:pPr>
        <w:pStyle w:val="af4"/>
        <w:suppressAutoHyphens/>
        <w:spacing w:after="0" w:line="240" w:lineRule="auto"/>
        <w:ind w:left="1454" w:right="3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7E56CD"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Совета по питанию:</w:t>
      </w:r>
    </w:p>
    <w:p w:rsidR="00637753" w:rsidRPr="006E4526" w:rsidRDefault="00E65051" w:rsidP="006E4526">
      <w:pPr>
        <w:suppressAutoHyphens/>
        <w:spacing w:after="3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2.1.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создается в целях учета мнения обучающихся, родителей (законных представителей) несовершеннолетних обучающихся и педагогических работников по вопросам организации питания, повышение качества питания обучающихся.</w:t>
      </w:r>
    </w:p>
    <w:p w:rsidR="007E56CD" w:rsidRPr="006E4526" w:rsidRDefault="00E65051" w:rsidP="006E4526">
      <w:pPr>
        <w:suppressAutoHyphens/>
        <w:spacing w:after="0" w:line="240" w:lineRule="auto"/>
        <w:ind w:left="426" w:right="43" w:firstLine="14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2.2.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Совета по питанию являются: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состояния организации питания в Колледже;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содействие администрации колледжа в обеспечении гарантий </w:t>
      </w:r>
      <w:proofErr w:type="gramStart"/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proofErr w:type="gramEnd"/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на полноценное питание с учётом действующих натуральных норм питания и состояния здоровья обучающегося;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контроле организации питания в Колледже по согласованию с администрацией Колледжа;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left="709" w:right="33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по вопр</w:t>
      </w:r>
      <w:r w:rsidR="00E65051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осам удовлетворенности обучающихся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качеством организации питания;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рекомендаций по организации питания в Колледже, включая организацию пропаганды принципов здорового питания;</w:t>
      </w:r>
    </w:p>
    <w:p w:rsidR="00E62E25" w:rsidRPr="006E4526" w:rsidRDefault="007E56CD" w:rsidP="006E4526">
      <w:pPr>
        <w:pStyle w:val="af4"/>
        <w:numPr>
          <w:ilvl w:val="0"/>
          <w:numId w:val="28"/>
        </w:numPr>
        <w:suppressAutoHyphens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участников образовательных отношений (работников, обучающихся, родителей (законных представителей) несовершеннолетних обучающихся) об организации питания в Колледже.</w:t>
      </w:r>
    </w:p>
    <w:p w:rsidR="007E56CD" w:rsidRPr="006E4526" w:rsidRDefault="007E56CD" w:rsidP="006E4526">
      <w:pPr>
        <w:tabs>
          <w:tab w:val="center" w:pos="792"/>
          <w:tab w:val="center" w:pos="38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Состав Совета по питанию и порядок работы</w:t>
      </w:r>
    </w:p>
    <w:p w:rsidR="007E56CD" w:rsidRPr="006E4526" w:rsidRDefault="007E56CD" w:rsidP="006E4526">
      <w:pPr>
        <w:suppressAutoHyphens/>
        <w:spacing w:after="3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Состав Совета по питанию утверждается приказом директора Колледжа на каждый учебный год.</w:t>
      </w:r>
      <w:r w:rsidR="00E65051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Общее число членов совета по питанию</w:t>
      </w:r>
      <w:r w:rsidR="00043CAF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председателя Совета по питанию, составляет не менее пяти человек. Ротация Совета по питанию проводится ежегодно по состоянию на начало учебного года.</w:t>
      </w:r>
    </w:p>
    <w:p w:rsidR="007E56CD" w:rsidRPr="006E4526" w:rsidRDefault="007E56CD" w:rsidP="006E4526">
      <w:pPr>
        <w:tabs>
          <w:tab w:val="center" w:pos="709"/>
          <w:tab w:val="center" w:pos="3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B191F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состав Совета по питанию входят: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воспитательной работе;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ответственный за социальное питание студентов; 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996A9B" wp14:editId="299B921A">
            <wp:extent cx="3175" cy="3175"/>
            <wp:effectExtent l="0" t="0" r="0" b="0"/>
            <wp:docPr id="14" name="Picture 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3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колледжа;</w:t>
      </w:r>
    </w:p>
    <w:p w:rsidR="00043CAF" w:rsidRPr="006E4526" w:rsidRDefault="003E079C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Р</w:t>
      </w:r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одители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bookmarkStart w:id="0" w:name="_GoBack"/>
      <w:bookmarkEnd w:id="0"/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(законные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представители) несовершеннолетних обучающихся;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куратор группы; 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студенческого совета.</w:t>
      </w:r>
    </w:p>
    <w:p w:rsidR="00043CAF" w:rsidRPr="006E4526" w:rsidRDefault="00043CAF" w:rsidP="006E4526">
      <w:pPr>
        <w:suppressAutoHyphens/>
        <w:spacing w:after="3" w:line="240" w:lineRule="auto"/>
        <w:ind w:left="709" w:right="3159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Решение об изменении состава Совета по питанию применяется в следующих случаях: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прекращение (возникновение) трудовых отношений с работниками колледжа; 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прекращение (возникновение) образовательных отношений; 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случаях по решению Совета по питанию.</w:t>
      </w:r>
    </w:p>
    <w:p w:rsidR="00495C2D" w:rsidRPr="006E4526" w:rsidRDefault="00495C2D" w:rsidP="006E4526">
      <w:pPr>
        <w:spacing w:after="12" w:line="240" w:lineRule="auto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Председатель, заместитель председателя и секретарь Совета по питанию избирается из членов Совета по питанию. </w:t>
      </w:r>
    </w:p>
    <w:p w:rsidR="00495C2D" w:rsidRPr="006E4526" w:rsidRDefault="00495C2D" w:rsidP="006E4526">
      <w:pPr>
        <w:spacing w:after="41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3.4.1. Председатель Совета по питанию: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 деятельностью Совета по питанию (в период отсутствия председателя Совета по питанию деятельностью Совета по питанию руководит заместитель председателя Совета по питанию);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назначает дату и проводит заседания Совета по питанию;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иные полномочия, необходимые для организации надлежащей деятельности Совета по питанию. </w:t>
      </w:r>
    </w:p>
    <w:p w:rsidR="00495C2D" w:rsidRPr="006E4526" w:rsidRDefault="00495C2D" w:rsidP="006E4526">
      <w:pPr>
        <w:spacing w:after="42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3.4.2. Секретарь Совета по питанию:  </w:t>
      </w:r>
    </w:p>
    <w:p w:rsidR="00495C2D" w:rsidRPr="006E4526" w:rsidRDefault="00495C2D" w:rsidP="006E4526">
      <w:pPr>
        <w:spacing w:after="3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формирует повестку дня заседания Совета по питанию, доводит ее до сведения членов Совета по питанию не менее чем за 5 (пять) рабочих дней до начала заседания;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проведение заседаний Совета по питанию;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ведет и подписывает протокол заседания Совета по питанию. </w:t>
      </w:r>
    </w:p>
    <w:p w:rsidR="00495C2D" w:rsidRPr="006E4526" w:rsidRDefault="00495C2D" w:rsidP="006E4526">
      <w:pPr>
        <w:spacing w:after="43" w:line="240" w:lineRule="auto"/>
        <w:ind w:left="1419" w:hanging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Члены Совета по питанию обязаны: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в заседаниях Совета по питанию;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соблюдать настоящее Положение;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lastRenderedPageBreak/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принятии решений Совета по питанию голосовать индивидуально и открыто; </w:t>
      </w: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вносить предложения по совершенствованию деятельности Совета по питанию. </w:t>
      </w:r>
    </w:p>
    <w:p w:rsidR="007E56CD" w:rsidRPr="006E4526" w:rsidRDefault="00136D70" w:rsidP="006E4526">
      <w:pPr>
        <w:pStyle w:val="af4"/>
        <w:numPr>
          <w:ilvl w:val="1"/>
          <w:numId w:val="31"/>
        </w:numPr>
        <w:suppressAutoHyphens/>
        <w:spacing w:after="3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собирается не реже одного раза в квартал.</w:t>
      </w:r>
    </w:p>
    <w:p w:rsidR="007E56CD" w:rsidRPr="006E4526" w:rsidRDefault="00136D70" w:rsidP="006E4526">
      <w:pPr>
        <w:suppressAutoHyphens/>
        <w:spacing w:after="3" w:line="240" w:lineRule="auto"/>
        <w:ind w:left="567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Совета по питанию возглавляет председатель Совета по питанию. В отсутствие председателя Совета по питанию заседания проводит его заместитель.</w:t>
      </w:r>
    </w:p>
    <w:p w:rsidR="007E56CD" w:rsidRPr="006E4526" w:rsidRDefault="00136D70" w:rsidP="006E4526">
      <w:pPr>
        <w:suppressAutoHyphens/>
        <w:spacing w:after="3" w:line="240" w:lineRule="auto"/>
        <w:ind w:right="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3.8.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Совета по питанию организует секретарь Совета по питанию, также он ведет протоколы заседания. Секретарь имеет право голоса во время проведения заседаний Совета по питанию.</w:t>
      </w:r>
    </w:p>
    <w:p w:rsidR="007E56CD" w:rsidRPr="006E4526" w:rsidRDefault="00136D70" w:rsidP="006E4526">
      <w:pPr>
        <w:suppressAutoHyphens/>
        <w:spacing w:after="3" w:line="240" w:lineRule="auto"/>
        <w:ind w:left="709" w:right="43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На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заседании Совета по питанию должно присутствовать не менее 2/3 состава Совета по питанию.</w:t>
      </w:r>
    </w:p>
    <w:p w:rsidR="00136D70" w:rsidRPr="006E4526" w:rsidRDefault="00136D70" w:rsidP="006E4526">
      <w:pPr>
        <w:suppressAutoHyphens/>
        <w:spacing w:after="3" w:line="240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Решение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питанию принимается простым большинство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голосов открытым голосованием</w:t>
      </w:r>
    </w:p>
    <w:p w:rsidR="00495C2D" w:rsidRPr="006E4526" w:rsidRDefault="00136D70" w:rsidP="006E4526">
      <w:pPr>
        <w:suppressAutoHyphens/>
        <w:spacing w:after="3" w:line="240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Заседание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питанию оформляется протоколом.</w:t>
      </w:r>
    </w:p>
    <w:p w:rsidR="00495C2D" w:rsidRPr="006E4526" w:rsidRDefault="00495C2D" w:rsidP="006E4526">
      <w:pPr>
        <w:numPr>
          <w:ilvl w:val="0"/>
          <w:numId w:val="30"/>
        </w:numPr>
        <w:spacing w:after="16" w:line="240" w:lineRule="auto"/>
        <w:ind w:right="3" w:hanging="2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деятельности Совета по питанию</w:t>
      </w:r>
    </w:p>
    <w:p w:rsidR="007B191F" w:rsidRPr="006E4526" w:rsidRDefault="00495C2D" w:rsidP="006E4526">
      <w:pPr>
        <w:pStyle w:val="af4"/>
        <w:numPr>
          <w:ilvl w:val="1"/>
          <w:numId w:val="30"/>
        </w:numPr>
        <w:spacing w:after="12" w:line="240" w:lineRule="auto"/>
        <w:ind w:left="1276" w:right="3" w:hanging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осуществляет деятельность на основании плана работы, утверждаемого на первом заседании Совета по питанию в текущем учебном году.</w:t>
      </w:r>
    </w:p>
    <w:p w:rsidR="00495C2D" w:rsidRPr="006E4526" w:rsidRDefault="00495C2D" w:rsidP="006E4526">
      <w:pPr>
        <w:pStyle w:val="af4"/>
        <w:numPr>
          <w:ilvl w:val="1"/>
          <w:numId w:val="30"/>
        </w:numPr>
        <w:spacing w:after="12" w:line="240" w:lineRule="auto"/>
        <w:ind w:left="1276" w:right="3" w:hanging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полномочиям Совета по питанию относится рассмотрение следующих вопросов:</w:t>
      </w:r>
    </w:p>
    <w:p w:rsidR="00495C2D" w:rsidRPr="006E4526" w:rsidRDefault="0056002A" w:rsidP="006E4526">
      <w:pPr>
        <w:spacing w:after="12" w:line="240" w:lineRule="auto"/>
        <w:ind w:left="-15"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питания обучающихся (соблюдение режима питания, гигиена приема пищи, качество и количество пищи, оформление блюд, маркировка посуды для пищи, организация питьевого режима). </w:t>
      </w:r>
    </w:p>
    <w:p w:rsidR="00495C2D" w:rsidRPr="006E4526" w:rsidRDefault="00136D70" w:rsidP="006E4526">
      <w:pPr>
        <w:tabs>
          <w:tab w:val="left" w:pos="709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работы пищеблока и столовой: </w:t>
      </w:r>
    </w:p>
    <w:p w:rsidR="00495C2D" w:rsidRPr="006E4526" w:rsidRDefault="00495C2D" w:rsidP="006E4526">
      <w:pPr>
        <w:spacing w:after="34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 материально-технической базы пищеблока, столовой, санитарно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эпидемиологической обстановки на пищеблоке, столовой; </w:t>
      </w:r>
    </w:p>
    <w:p w:rsidR="00495C2D" w:rsidRPr="006E4526" w:rsidRDefault="00495C2D" w:rsidP="006E4526">
      <w:pPr>
        <w:spacing w:after="12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хранение суточного запаса продуктов, закладка продуктов; </w:t>
      </w:r>
    </w:p>
    <w:p w:rsidR="00495C2D" w:rsidRPr="006E4526" w:rsidRDefault="00495C2D" w:rsidP="006E4526">
      <w:pPr>
        <w:spacing w:after="35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технология, качество и количество приготовляемой пищи, витаминизация; </w:t>
      </w:r>
    </w:p>
    <w:p w:rsidR="00495C2D" w:rsidRPr="006E4526" w:rsidRDefault="00495C2D" w:rsidP="006E4526">
      <w:pPr>
        <w:spacing w:after="12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в процессе технологической и кулинарной обработки продуктов питания, их высоких вкусовых качеств и сохранения исходной пищевой ценности. </w:t>
      </w:r>
    </w:p>
    <w:p w:rsidR="00495C2D" w:rsidRPr="006E4526" w:rsidRDefault="00136D70" w:rsidP="006E4526">
      <w:pPr>
        <w:tabs>
          <w:tab w:val="left" w:pos="567"/>
        </w:tabs>
        <w:spacing w:after="34" w:line="24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4.2.3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работы по приему, транспортировке, хранению, выдаче продуктов питания, оформления документации: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 </w:t>
      </w:r>
    </w:p>
    <w:p w:rsidR="00495C2D" w:rsidRPr="006E4526" w:rsidRDefault="00495C2D" w:rsidP="006E4526">
      <w:pPr>
        <w:spacing w:after="49" w:line="240" w:lineRule="auto"/>
        <w:ind w:left="-15" w:right="-10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наличием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соответствие сырья и продуктов, используемых в питании обучающихся, гигиеническим требованиям к качеству и безопасности продуктов питания, предусмотренным техническим регламентом о безопасности пищевой продукции (соковой продукции из фруктов и овощей, масложировой продукции). </w:t>
      </w:r>
    </w:p>
    <w:p w:rsidR="00495C2D" w:rsidRPr="006E4526" w:rsidRDefault="00136D70" w:rsidP="006E4526">
      <w:pPr>
        <w:tabs>
          <w:tab w:val="left" w:pos="567"/>
        </w:tabs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Мониторинг качества предоставления питания: </w:t>
      </w:r>
    </w:p>
    <w:p w:rsidR="00495C2D" w:rsidRPr="006E4526" w:rsidRDefault="00495C2D" w:rsidP="006E4526">
      <w:pPr>
        <w:spacing w:after="38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и анализ информаци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 организации питания в колледже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формирование предложений по вопросам организации питания, с учетом мнения родительской общественности; </w:t>
      </w:r>
    </w:p>
    <w:p w:rsidR="00495C2D" w:rsidRPr="006E4526" w:rsidRDefault="00495C2D" w:rsidP="006E4526">
      <w:pPr>
        <w:spacing w:after="36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приглашение на заседание Совета по питанию представителей организаций общественного питания, сотрудников образовательного учреждения, родителей (законных представителей) обучающихся для рассмотрения вопросов, связанных с организацией питания; </w:t>
      </w:r>
    </w:p>
    <w:p w:rsidR="00495C2D" w:rsidRPr="006E4526" w:rsidRDefault="00136D70" w:rsidP="006E4526">
      <w:pPr>
        <w:tabs>
          <w:tab w:val="left" w:pos="70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 Участие членов Совета по питанию в мероприятиях, связанных с проведением контроля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питания в СПб ГБПОУ «МК №1»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с учетом установленных санитарных требований. </w:t>
      </w:r>
    </w:p>
    <w:p w:rsidR="00495C2D" w:rsidRPr="006E4526" w:rsidRDefault="00136D70" w:rsidP="006E4526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 Совет по питанию несет ответственность за компетентность принимаемых решений на заседаниях Совета по питанию. </w:t>
      </w:r>
    </w:p>
    <w:p w:rsidR="00495C2D" w:rsidRPr="0056002A" w:rsidRDefault="00495C2D" w:rsidP="00495C2D">
      <w:pPr>
        <w:suppressAutoHyphens/>
        <w:spacing w:after="3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BBB" w:rsidRPr="0056002A" w:rsidRDefault="00D03BBB" w:rsidP="00D03BBB">
      <w:pPr>
        <w:suppressAutoHyphens/>
        <w:spacing w:after="8967" w:line="240" w:lineRule="auto"/>
        <w:ind w:left="426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3BBB" w:rsidRPr="0056002A" w:rsidSect="009E647D">
      <w:head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38" w:rsidRDefault="00FC6D38" w:rsidP="00C526A1">
      <w:pPr>
        <w:spacing w:after="0" w:line="240" w:lineRule="auto"/>
      </w:pPr>
      <w:r>
        <w:separator/>
      </w:r>
    </w:p>
  </w:endnote>
  <w:endnote w:type="continuationSeparator" w:id="0">
    <w:p w:rsidR="00FC6D38" w:rsidRDefault="00FC6D38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38" w:rsidRDefault="00FC6D38" w:rsidP="00C526A1">
      <w:pPr>
        <w:spacing w:after="0" w:line="240" w:lineRule="auto"/>
      </w:pPr>
      <w:r>
        <w:separator/>
      </w:r>
    </w:p>
  </w:footnote>
  <w:footnote w:type="continuationSeparator" w:id="0">
    <w:p w:rsidR="00FC6D38" w:rsidRDefault="00FC6D38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79" w:rsidRPr="002514A9" w:rsidRDefault="00C526A1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3E079C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3E079C">
      <w:rPr>
        <w:rFonts w:ascii="Cambria" w:eastAsia="Times New Roman" w:hAnsi="Cambria" w:cs="Times New Roman"/>
        <w:sz w:val="18"/>
        <w:szCs w:val="18"/>
      </w:rPr>
      <w:t xml:space="preserve"> о</w:t>
    </w:r>
    <w:r w:rsidR="00FF170C"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="007E56CD">
      <w:rPr>
        <w:rFonts w:ascii="Cambria" w:eastAsia="Times New Roman" w:hAnsi="Cambria" w:cs="Times New Roman"/>
        <w:sz w:val="18"/>
        <w:szCs w:val="18"/>
      </w:rPr>
      <w:t>Совете по питанию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45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46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47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48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49" type="#_x0000_t75" style="width:12.75pt;height:13.5pt;visibility:visible;mso-wrap-style:square" o:bullet="t">
        <v:imagedata r:id="rId6" o:title=""/>
      </v:shape>
    </w:pict>
  </w:numPicBullet>
  <w:abstractNum w:abstractNumId="0" w15:restartNumberingAfterBreak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57841"/>
    <w:multiLevelType w:val="multilevel"/>
    <w:tmpl w:val="489023EC"/>
    <w:lvl w:ilvl="0">
      <w:start w:val="4"/>
      <w:numFmt w:val="decimal"/>
      <w:lvlText w:val="%1.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414F"/>
    <w:multiLevelType w:val="multilevel"/>
    <w:tmpl w:val="76EA4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1" w15:restartNumberingAfterBreak="0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25"/>
  </w:num>
  <w:num w:numId="12">
    <w:abstractNumId w:val="3"/>
  </w:num>
  <w:num w:numId="13">
    <w:abstractNumId w:val="17"/>
  </w:num>
  <w:num w:numId="14">
    <w:abstractNumId w:val="11"/>
  </w:num>
  <w:num w:numId="15">
    <w:abstractNumId w:val="29"/>
  </w:num>
  <w:num w:numId="16">
    <w:abstractNumId w:val="12"/>
  </w:num>
  <w:num w:numId="17">
    <w:abstractNumId w:val="28"/>
  </w:num>
  <w:num w:numId="18">
    <w:abstractNumId w:val="19"/>
  </w:num>
  <w:num w:numId="19">
    <w:abstractNumId w:val="10"/>
  </w:num>
  <w:num w:numId="20">
    <w:abstractNumId w:val="30"/>
  </w:num>
  <w:num w:numId="21">
    <w:abstractNumId w:val="26"/>
  </w:num>
  <w:num w:numId="22">
    <w:abstractNumId w:val="9"/>
  </w:num>
  <w:num w:numId="23">
    <w:abstractNumId w:val="23"/>
  </w:num>
  <w:num w:numId="24">
    <w:abstractNumId w:val="24"/>
  </w:num>
  <w:num w:numId="25">
    <w:abstractNumId w:val="21"/>
  </w:num>
  <w:num w:numId="26">
    <w:abstractNumId w:val="1"/>
  </w:num>
  <w:num w:numId="27">
    <w:abstractNumId w:val="27"/>
  </w:num>
  <w:num w:numId="28">
    <w:abstractNumId w:val="22"/>
  </w:num>
  <w:num w:numId="29">
    <w:abstractNumId w:val="20"/>
  </w:num>
  <w:num w:numId="30">
    <w:abstractNumId w:val="4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175B1"/>
    <w:rsid w:val="00017929"/>
    <w:rsid w:val="000300AE"/>
    <w:rsid w:val="000373A1"/>
    <w:rsid w:val="00043CAF"/>
    <w:rsid w:val="00045978"/>
    <w:rsid w:val="00074CB4"/>
    <w:rsid w:val="00075A00"/>
    <w:rsid w:val="00091479"/>
    <w:rsid w:val="000A25D6"/>
    <w:rsid w:val="000A5F1E"/>
    <w:rsid w:val="000C4AC5"/>
    <w:rsid w:val="000E5203"/>
    <w:rsid w:val="00127243"/>
    <w:rsid w:val="00127AEB"/>
    <w:rsid w:val="00133779"/>
    <w:rsid w:val="00136D70"/>
    <w:rsid w:val="001444D4"/>
    <w:rsid w:val="00150C62"/>
    <w:rsid w:val="00151D37"/>
    <w:rsid w:val="00162BF6"/>
    <w:rsid w:val="00167166"/>
    <w:rsid w:val="0017006F"/>
    <w:rsid w:val="00183BC9"/>
    <w:rsid w:val="00197809"/>
    <w:rsid w:val="001C1172"/>
    <w:rsid w:val="001D4266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85880"/>
    <w:rsid w:val="002A1163"/>
    <w:rsid w:val="002B5A2D"/>
    <w:rsid w:val="002D51CA"/>
    <w:rsid w:val="002F44F1"/>
    <w:rsid w:val="003050C6"/>
    <w:rsid w:val="003064A8"/>
    <w:rsid w:val="00315A48"/>
    <w:rsid w:val="00316A60"/>
    <w:rsid w:val="003540D7"/>
    <w:rsid w:val="00361B22"/>
    <w:rsid w:val="00362800"/>
    <w:rsid w:val="0037516D"/>
    <w:rsid w:val="003A0B5E"/>
    <w:rsid w:val="003A2A58"/>
    <w:rsid w:val="003B03CB"/>
    <w:rsid w:val="003C49CE"/>
    <w:rsid w:val="003E079C"/>
    <w:rsid w:val="003E2768"/>
    <w:rsid w:val="00406A34"/>
    <w:rsid w:val="00456BA1"/>
    <w:rsid w:val="00461813"/>
    <w:rsid w:val="00483E5E"/>
    <w:rsid w:val="0048521F"/>
    <w:rsid w:val="00495C2D"/>
    <w:rsid w:val="004A4AE5"/>
    <w:rsid w:val="004C1C98"/>
    <w:rsid w:val="004C5517"/>
    <w:rsid w:val="004D4122"/>
    <w:rsid w:val="004D63ED"/>
    <w:rsid w:val="004F6EF1"/>
    <w:rsid w:val="00522543"/>
    <w:rsid w:val="0056002A"/>
    <w:rsid w:val="00561D0C"/>
    <w:rsid w:val="0056298D"/>
    <w:rsid w:val="005A4E05"/>
    <w:rsid w:val="005E4048"/>
    <w:rsid w:val="005F2763"/>
    <w:rsid w:val="005F3535"/>
    <w:rsid w:val="006072D9"/>
    <w:rsid w:val="00611A24"/>
    <w:rsid w:val="00613207"/>
    <w:rsid w:val="006247C8"/>
    <w:rsid w:val="00637753"/>
    <w:rsid w:val="006717CA"/>
    <w:rsid w:val="00672CEC"/>
    <w:rsid w:val="00682572"/>
    <w:rsid w:val="00684C09"/>
    <w:rsid w:val="00687302"/>
    <w:rsid w:val="00690D2E"/>
    <w:rsid w:val="006B3770"/>
    <w:rsid w:val="006B48DF"/>
    <w:rsid w:val="006C37A7"/>
    <w:rsid w:val="006E4526"/>
    <w:rsid w:val="00705C8A"/>
    <w:rsid w:val="00712922"/>
    <w:rsid w:val="007346B9"/>
    <w:rsid w:val="00737DD1"/>
    <w:rsid w:val="00751C98"/>
    <w:rsid w:val="00763906"/>
    <w:rsid w:val="0077174F"/>
    <w:rsid w:val="007970C7"/>
    <w:rsid w:val="00797F64"/>
    <w:rsid w:val="007B1726"/>
    <w:rsid w:val="007B191F"/>
    <w:rsid w:val="007D628B"/>
    <w:rsid w:val="007E154B"/>
    <w:rsid w:val="007E56CD"/>
    <w:rsid w:val="0080304F"/>
    <w:rsid w:val="0085532D"/>
    <w:rsid w:val="00855D85"/>
    <w:rsid w:val="00891A3D"/>
    <w:rsid w:val="00895C25"/>
    <w:rsid w:val="00896C1E"/>
    <w:rsid w:val="008A2432"/>
    <w:rsid w:val="008B6DF1"/>
    <w:rsid w:val="008B749E"/>
    <w:rsid w:val="008C6F5B"/>
    <w:rsid w:val="008C7CE4"/>
    <w:rsid w:val="00900C25"/>
    <w:rsid w:val="009151D7"/>
    <w:rsid w:val="00926C50"/>
    <w:rsid w:val="00927085"/>
    <w:rsid w:val="00961120"/>
    <w:rsid w:val="00972E3E"/>
    <w:rsid w:val="009D4AB1"/>
    <w:rsid w:val="009D77B2"/>
    <w:rsid w:val="009E1BA2"/>
    <w:rsid w:val="009E46C3"/>
    <w:rsid w:val="009E647D"/>
    <w:rsid w:val="009F74DA"/>
    <w:rsid w:val="00A01103"/>
    <w:rsid w:val="00A643BA"/>
    <w:rsid w:val="00A84589"/>
    <w:rsid w:val="00A93B52"/>
    <w:rsid w:val="00AB121D"/>
    <w:rsid w:val="00AC001B"/>
    <w:rsid w:val="00AC40F9"/>
    <w:rsid w:val="00AD275A"/>
    <w:rsid w:val="00AD5E8E"/>
    <w:rsid w:val="00AE2203"/>
    <w:rsid w:val="00B13846"/>
    <w:rsid w:val="00B51487"/>
    <w:rsid w:val="00B56E48"/>
    <w:rsid w:val="00B61F76"/>
    <w:rsid w:val="00B813E1"/>
    <w:rsid w:val="00B976D0"/>
    <w:rsid w:val="00B97C6B"/>
    <w:rsid w:val="00BA597E"/>
    <w:rsid w:val="00C16262"/>
    <w:rsid w:val="00C340B7"/>
    <w:rsid w:val="00C41071"/>
    <w:rsid w:val="00C51B12"/>
    <w:rsid w:val="00C526A1"/>
    <w:rsid w:val="00C71734"/>
    <w:rsid w:val="00C77EDE"/>
    <w:rsid w:val="00C82F28"/>
    <w:rsid w:val="00CD40F8"/>
    <w:rsid w:val="00D03BBB"/>
    <w:rsid w:val="00D0509D"/>
    <w:rsid w:val="00D47C59"/>
    <w:rsid w:val="00D66395"/>
    <w:rsid w:val="00D836E4"/>
    <w:rsid w:val="00D94A98"/>
    <w:rsid w:val="00DB1316"/>
    <w:rsid w:val="00DF4631"/>
    <w:rsid w:val="00E04C86"/>
    <w:rsid w:val="00E2327F"/>
    <w:rsid w:val="00E559AD"/>
    <w:rsid w:val="00E62E25"/>
    <w:rsid w:val="00E65051"/>
    <w:rsid w:val="00E87A91"/>
    <w:rsid w:val="00EC4676"/>
    <w:rsid w:val="00ED2F32"/>
    <w:rsid w:val="00F131C3"/>
    <w:rsid w:val="00F21405"/>
    <w:rsid w:val="00F234F7"/>
    <w:rsid w:val="00F64F01"/>
    <w:rsid w:val="00F7216C"/>
    <w:rsid w:val="00F849E3"/>
    <w:rsid w:val="00F85C8C"/>
    <w:rsid w:val="00F95CF8"/>
    <w:rsid w:val="00F96FBB"/>
    <w:rsid w:val="00FC6D38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72BC1"/>
  <w15:docId w15:val="{F0871351-0C88-4FA2-8F81-EDF829F8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9196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User</cp:lastModifiedBy>
  <cp:revision>5</cp:revision>
  <cp:lastPrinted>2022-09-20T12:22:00Z</cp:lastPrinted>
  <dcterms:created xsi:type="dcterms:W3CDTF">2022-09-07T12:29:00Z</dcterms:created>
  <dcterms:modified xsi:type="dcterms:W3CDTF">2022-09-20T12:22:00Z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